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767778999"/>
        <w:docPartObj>
          <w:docPartGallery w:val="Cover Pages"/>
          <w:docPartUnique/>
        </w:docPartObj>
      </w:sdtPr>
      <w:sdtEndPr>
        <w:rPr>
          <w:b/>
        </w:rPr>
      </w:sdtEndPr>
      <w:sdtContent>
        <w:p w14:paraId="5E8AA963" w14:textId="6838E10C" w:rsidR="0074498D" w:rsidRPr="002E5F86" w:rsidRDefault="0074498D" w:rsidP="00652892">
          <w:pPr>
            <w:spacing w:line="600" w:lineRule="auto"/>
            <w:jc w:val="both"/>
            <w:rPr>
              <w:rFonts w:ascii="Times New Roman" w:hAnsi="Times New Roman" w:cs="Times New Roman"/>
              <w:sz w:val="24"/>
              <w:szCs w:val="24"/>
            </w:rPr>
          </w:pPr>
          <w:r w:rsidRPr="002E5F86">
            <w:rPr>
              <w:rFonts w:ascii="Times New Roman" w:hAnsi="Times New Roman" w:cs="Times New Roman"/>
              <w:noProof/>
              <w:sz w:val="24"/>
              <w:szCs w:val="24"/>
              <w:lang w:val="en-US" w:eastAsia="en-US"/>
            </w:rPr>
            <mc:AlternateContent>
              <mc:Choice Requires="wpg">
                <w:drawing>
                  <wp:anchor distT="0" distB="0" distL="114300" distR="114300" simplePos="0" relativeHeight="251659264" behindDoc="1" locked="0" layoutInCell="1" allowOverlap="1" wp14:anchorId="08912DD5" wp14:editId="0B451FC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F4325" w14:textId="041D9A4F" w:rsidR="00042261" w:rsidRDefault="00042261" w:rsidP="0074498D">
                                  <w:pPr>
                                    <w:pStyle w:val="NoSpacing"/>
                                    <w:spacing w:before="120"/>
                                    <w:rPr>
                                      <w:color w:val="FFFFFF" w:themeColor="background1"/>
                                    </w:rPr>
                                  </w:pPr>
                                </w:p>
                                <w:p w14:paraId="53AFE87D" w14:textId="00624343" w:rsidR="00042261" w:rsidRDefault="00042261" w:rsidP="0074498D">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0D374C4" w14:textId="2AEB738A" w:rsidR="00042261" w:rsidRDefault="00603687">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Accounting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8912DD5"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14:paraId="79AF4325" w14:textId="041D9A4F" w:rsidR="00042261" w:rsidRDefault="00042261" w:rsidP="0074498D">
                            <w:pPr>
                              <w:pStyle w:val="NoSpacing"/>
                              <w:spacing w:before="120"/>
                              <w:rPr>
                                <w:color w:val="FFFFFF" w:themeColor="background1"/>
                              </w:rPr>
                            </w:pPr>
                          </w:p>
                          <w:p w14:paraId="53AFE87D" w14:textId="00624343" w:rsidR="00042261" w:rsidRDefault="00042261" w:rsidP="0074498D">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0D374C4" w14:textId="2AEB738A" w:rsidR="00042261" w:rsidRDefault="00603687">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Accounting Sample 1</w:t>
                                </w:r>
                              </w:p>
                            </w:sdtContent>
                          </w:sdt>
                        </w:txbxContent>
                      </v:textbox>
                    </v:shape>
                    <w10:wrap anchorx="page" anchory="page"/>
                  </v:group>
                </w:pict>
              </mc:Fallback>
            </mc:AlternateContent>
          </w:r>
        </w:p>
        <w:p w14:paraId="32206FB3" w14:textId="17AA201A" w:rsidR="0074498D" w:rsidRPr="002E5F86" w:rsidRDefault="0074498D" w:rsidP="00652892">
          <w:pPr>
            <w:spacing w:line="600" w:lineRule="auto"/>
            <w:jc w:val="both"/>
            <w:rPr>
              <w:rFonts w:ascii="Times New Roman" w:hAnsi="Times New Roman" w:cs="Times New Roman"/>
              <w:b/>
              <w:sz w:val="24"/>
              <w:szCs w:val="24"/>
            </w:rPr>
          </w:pPr>
          <w:r w:rsidRPr="002E5F86">
            <w:rPr>
              <w:rFonts w:ascii="Times New Roman" w:hAnsi="Times New Roman" w:cs="Times New Roman"/>
              <w:b/>
              <w:sz w:val="24"/>
              <w:szCs w:val="24"/>
            </w:rPr>
            <w:br w:type="page"/>
          </w:r>
        </w:p>
      </w:sdtContent>
    </w:sdt>
    <w:sdt>
      <w:sdtPr>
        <w:rPr>
          <w:rFonts w:asciiTheme="minorHAnsi" w:eastAsiaTheme="minorEastAsia" w:hAnsiTheme="minorHAnsi" w:cstheme="minorBidi"/>
          <w:color w:val="auto"/>
          <w:sz w:val="22"/>
          <w:szCs w:val="22"/>
          <w:lang w:val="en-GB" w:eastAsia="zh-CN"/>
        </w:rPr>
        <w:id w:val="-780421514"/>
        <w:docPartObj>
          <w:docPartGallery w:val="Table of Contents"/>
          <w:docPartUnique/>
        </w:docPartObj>
      </w:sdtPr>
      <w:sdtEndPr>
        <w:rPr>
          <w:b/>
          <w:bCs/>
          <w:noProof/>
        </w:rPr>
      </w:sdtEndPr>
      <w:sdtContent>
        <w:p w14:paraId="55B54757" w14:textId="2A6E68FA" w:rsidR="003D3AD3" w:rsidRDefault="003D3AD3">
          <w:pPr>
            <w:pStyle w:val="TOCHeading"/>
          </w:pPr>
          <w:r>
            <w:t>Contents</w:t>
          </w:r>
        </w:p>
        <w:p w14:paraId="69C23692" w14:textId="77777777" w:rsidR="003D3AD3" w:rsidRDefault="003D3AD3">
          <w:pPr>
            <w:pStyle w:val="TOC1"/>
            <w:tabs>
              <w:tab w:val="right" w:leader="dot" w:pos="9060"/>
            </w:tabs>
            <w:rPr>
              <w:noProof/>
            </w:rPr>
          </w:pPr>
          <w:r>
            <w:fldChar w:fldCharType="begin"/>
          </w:r>
          <w:r>
            <w:instrText xml:space="preserve"> TOC \o "1-3" \h \z \u </w:instrText>
          </w:r>
          <w:r>
            <w:fldChar w:fldCharType="separate"/>
          </w:r>
          <w:hyperlink w:anchor="_Toc429322201" w:history="1">
            <w:r w:rsidRPr="006B04EB">
              <w:rPr>
                <w:rStyle w:val="Hyperlink"/>
                <w:rFonts w:ascii="Times New Roman" w:hAnsi="Times New Roman" w:cs="Times New Roman"/>
                <w:noProof/>
              </w:rPr>
              <w:t>Accounting Analysis</w:t>
            </w:r>
            <w:r>
              <w:rPr>
                <w:noProof/>
                <w:webHidden/>
              </w:rPr>
              <w:tab/>
            </w:r>
            <w:r>
              <w:rPr>
                <w:noProof/>
                <w:webHidden/>
              </w:rPr>
              <w:fldChar w:fldCharType="begin"/>
            </w:r>
            <w:r>
              <w:rPr>
                <w:noProof/>
                <w:webHidden/>
              </w:rPr>
              <w:instrText xml:space="preserve"> PAGEREF _Toc429322201 \h </w:instrText>
            </w:r>
            <w:r>
              <w:rPr>
                <w:noProof/>
                <w:webHidden/>
              </w:rPr>
            </w:r>
            <w:r>
              <w:rPr>
                <w:noProof/>
                <w:webHidden/>
              </w:rPr>
              <w:fldChar w:fldCharType="separate"/>
            </w:r>
            <w:r w:rsidR="003C234A">
              <w:rPr>
                <w:noProof/>
                <w:webHidden/>
              </w:rPr>
              <w:t>2</w:t>
            </w:r>
            <w:r>
              <w:rPr>
                <w:noProof/>
                <w:webHidden/>
              </w:rPr>
              <w:fldChar w:fldCharType="end"/>
            </w:r>
          </w:hyperlink>
        </w:p>
        <w:p w14:paraId="5AB47D38" w14:textId="77777777" w:rsidR="003D3AD3" w:rsidRDefault="004B757C">
          <w:pPr>
            <w:pStyle w:val="TOC2"/>
            <w:tabs>
              <w:tab w:val="right" w:leader="dot" w:pos="9060"/>
            </w:tabs>
            <w:rPr>
              <w:noProof/>
            </w:rPr>
          </w:pPr>
          <w:hyperlink w:anchor="_Toc429322202" w:history="1">
            <w:r w:rsidR="003D3AD3" w:rsidRPr="006B04EB">
              <w:rPr>
                <w:rStyle w:val="Hyperlink"/>
                <w:rFonts w:ascii="Times New Roman" w:hAnsi="Times New Roman" w:cs="Times New Roman"/>
                <w:noProof/>
                <w:lang w:val="en-AU"/>
              </w:rPr>
              <w:t>1. Identifying Key Accounting Policies</w:t>
            </w:r>
            <w:r w:rsidR="003D3AD3">
              <w:rPr>
                <w:noProof/>
                <w:webHidden/>
              </w:rPr>
              <w:tab/>
            </w:r>
            <w:r w:rsidR="003D3AD3">
              <w:rPr>
                <w:noProof/>
                <w:webHidden/>
              </w:rPr>
              <w:fldChar w:fldCharType="begin"/>
            </w:r>
            <w:r w:rsidR="003D3AD3">
              <w:rPr>
                <w:noProof/>
                <w:webHidden/>
              </w:rPr>
              <w:instrText xml:space="preserve"> PAGEREF _Toc429322202 \h </w:instrText>
            </w:r>
            <w:r w:rsidR="003D3AD3">
              <w:rPr>
                <w:noProof/>
                <w:webHidden/>
              </w:rPr>
            </w:r>
            <w:r w:rsidR="003D3AD3">
              <w:rPr>
                <w:noProof/>
                <w:webHidden/>
              </w:rPr>
              <w:fldChar w:fldCharType="separate"/>
            </w:r>
            <w:r w:rsidR="003C234A">
              <w:rPr>
                <w:noProof/>
                <w:webHidden/>
              </w:rPr>
              <w:t>2</w:t>
            </w:r>
            <w:r w:rsidR="003D3AD3">
              <w:rPr>
                <w:noProof/>
                <w:webHidden/>
              </w:rPr>
              <w:fldChar w:fldCharType="end"/>
            </w:r>
          </w:hyperlink>
        </w:p>
        <w:p w14:paraId="5934A2B0" w14:textId="77777777" w:rsidR="003D3AD3" w:rsidRDefault="004B757C">
          <w:pPr>
            <w:pStyle w:val="TOC3"/>
            <w:tabs>
              <w:tab w:val="right" w:leader="dot" w:pos="9060"/>
            </w:tabs>
            <w:rPr>
              <w:noProof/>
            </w:rPr>
          </w:pPr>
          <w:hyperlink w:anchor="_Toc429322203" w:history="1">
            <w:r w:rsidR="003D3AD3" w:rsidRPr="006B04EB">
              <w:rPr>
                <w:rStyle w:val="Hyperlink"/>
                <w:rFonts w:ascii="Times New Roman" w:hAnsi="Times New Roman" w:cs="Times New Roman"/>
                <w:noProof/>
                <w:lang w:val="en-AU"/>
              </w:rPr>
              <w:t>I</w:t>
            </w:r>
            <w:r w:rsidR="003D3AD3" w:rsidRPr="006B04EB">
              <w:rPr>
                <w:rStyle w:val="Hyperlink"/>
                <w:noProof/>
                <w:lang w:val="en-AU"/>
              </w:rPr>
              <w:t>ncome Recognition</w:t>
            </w:r>
            <w:r w:rsidR="003D3AD3">
              <w:rPr>
                <w:noProof/>
                <w:webHidden/>
              </w:rPr>
              <w:tab/>
            </w:r>
            <w:r w:rsidR="003D3AD3">
              <w:rPr>
                <w:noProof/>
                <w:webHidden/>
              </w:rPr>
              <w:fldChar w:fldCharType="begin"/>
            </w:r>
            <w:r w:rsidR="003D3AD3">
              <w:rPr>
                <w:noProof/>
                <w:webHidden/>
              </w:rPr>
              <w:instrText xml:space="preserve"> PAGEREF _Toc429322203 \h </w:instrText>
            </w:r>
            <w:r w:rsidR="003D3AD3">
              <w:rPr>
                <w:noProof/>
                <w:webHidden/>
              </w:rPr>
            </w:r>
            <w:r w:rsidR="003D3AD3">
              <w:rPr>
                <w:noProof/>
                <w:webHidden/>
              </w:rPr>
              <w:fldChar w:fldCharType="separate"/>
            </w:r>
            <w:r w:rsidR="003C234A">
              <w:rPr>
                <w:noProof/>
                <w:webHidden/>
              </w:rPr>
              <w:t>2</w:t>
            </w:r>
            <w:r w:rsidR="003D3AD3">
              <w:rPr>
                <w:noProof/>
                <w:webHidden/>
              </w:rPr>
              <w:fldChar w:fldCharType="end"/>
            </w:r>
          </w:hyperlink>
        </w:p>
        <w:p w14:paraId="53520F81" w14:textId="77777777" w:rsidR="003D3AD3" w:rsidRDefault="004B757C">
          <w:pPr>
            <w:pStyle w:val="TOC3"/>
            <w:tabs>
              <w:tab w:val="right" w:leader="dot" w:pos="9060"/>
            </w:tabs>
            <w:rPr>
              <w:noProof/>
            </w:rPr>
          </w:pPr>
          <w:hyperlink w:anchor="_Toc429322204" w:history="1">
            <w:r w:rsidR="003D3AD3" w:rsidRPr="006B04EB">
              <w:rPr>
                <w:rStyle w:val="Hyperlink"/>
                <w:noProof/>
                <w:lang w:val="en-AU"/>
              </w:rPr>
              <w:t>Inventories</w:t>
            </w:r>
            <w:r w:rsidR="003D3AD3">
              <w:rPr>
                <w:noProof/>
                <w:webHidden/>
              </w:rPr>
              <w:tab/>
            </w:r>
            <w:r w:rsidR="003D3AD3">
              <w:rPr>
                <w:noProof/>
                <w:webHidden/>
              </w:rPr>
              <w:fldChar w:fldCharType="begin"/>
            </w:r>
            <w:r w:rsidR="003D3AD3">
              <w:rPr>
                <w:noProof/>
                <w:webHidden/>
              </w:rPr>
              <w:instrText xml:space="preserve"> PAGEREF _Toc429322204 \h </w:instrText>
            </w:r>
            <w:r w:rsidR="003D3AD3">
              <w:rPr>
                <w:noProof/>
                <w:webHidden/>
              </w:rPr>
            </w:r>
            <w:r w:rsidR="003D3AD3">
              <w:rPr>
                <w:noProof/>
                <w:webHidden/>
              </w:rPr>
              <w:fldChar w:fldCharType="separate"/>
            </w:r>
            <w:r w:rsidR="003C234A">
              <w:rPr>
                <w:noProof/>
                <w:webHidden/>
              </w:rPr>
              <w:t>2</w:t>
            </w:r>
            <w:r w:rsidR="003D3AD3">
              <w:rPr>
                <w:noProof/>
                <w:webHidden/>
              </w:rPr>
              <w:fldChar w:fldCharType="end"/>
            </w:r>
          </w:hyperlink>
        </w:p>
        <w:p w14:paraId="0E29B257" w14:textId="77777777" w:rsidR="003D3AD3" w:rsidRDefault="004B757C">
          <w:pPr>
            <w:pStyle w:val="TOC3"/>
            <w:tabs>
              <w:tab w:val="right" w:leader="dot" w:pos="9060"/>
            </w:tabs>
            <w:rPr>
              <w:noProof/>
            </w:rPr>
          </w:pPr>
          <w:hyperlink w:anchor="_Toc429322205" w:history="1">
            <w:r w:rsidR="003D3AD3" w:rsidRPr="006B04EB">
              <w:rPr>
                <w:rStyle w:val="Hyperlink"/>
                <w:noProof/>
                <w:lang w:val="en-AU"/>
              </w:rPr>
              <w:t>Devaluation and Amortization</w:t>
            </w:r>
            <w:r w:rsidR="003D3AD3">
              <w:rPr>
                <w:noProof/>
                <w:webHidden/>
              </w:rPr>
              <w:tab/>
            </w:r>
            <w:r w:rsidR="003D3AD3">
              <w:rPr>
                <w:noProof/>
                <w:webHidden/>
              </w:rPr>
              <w:fldChar w:fldCharType="begin"/>
            </w:r>
            <w:r w:rsidR="003D3AD3">
              <w:rPr>
                <w:noProof/>
                <w:webHidden/>
              </w:rPr>
              <w:instrText xml:space="preserve"> PAGEREF _Toc429322205 \h </w:instrText>
            </w:r>
            <w:r w:rsidR="003D3AD3">
              <w:rPr>
                <w:noProof/>
                <w:webHidden/>
              </w:rPr>
            </w:r>
            <w:r w:rsidR="003D3AD3">
              <w:rPr>
                <w:noProof/>
                <w:webHidden/>
              </w:rPr>
              <w:fldChar w:fldCharType="separate"/>
            </w:r>
            <w:r w:rsidR="003C234A">
              <w:rPr>
                <w:noProof/>
                <w:webHidden/>
              </w:rPr>
              <w:t>3</w:t>
            </w:r>
            <w:r w:rsidR="003D3AD3">
              <w:rPr>
                <w:noProof/>
                <w:webHidden/>
              </w:rPr>
              <w:fldChar w:fldCharType="end"/>
            </w:r>
          </w:hyperlink>
        </w:p>
        <w:p w14:paraId="70AB6B59" w14:textId="77777777" w:rsidR="003D3AD3" w:rsidRDefault="004B757C">
          <w:pPr>
            <w:pStyle w:val="TOC2"/>
            <w:tabs>
              <w:tab w:val="right" w:leader="dot" w:pos="9060"/>
            </w:tabs>
            <w:rPr>
              <w:noProof/>
            </w:rPr>
          </w:pPr>
          <w:hyperlink w:anchor="_Toc429322206" w:history="1">
            <w:r w:rsidR="003D3AD3" w:rsidRPr="006B04EB">
              <w:rPr>
                <w:rStyle w:val="Hyperlink"/>
                <w:rFonts w:ascii="Times New Roman" w:hAnsi="Times New Roman" w:cs="Times New Roman"/>
                <w:noProof/>
                <w:lang w:val="en-AU"/>
              </w:rPr>
              <w:t>2. Accounting flexibility</w:t>
            </w:r>
            <w:r w:rsidR="003D3AD3">
              <w:rPr>
                <w:noProof/>
                <w:webHidden/>
              </w:rPr>
              <w:tab/>
            </w:r>
            <w:r w:rsidR="003D3AD3">
              <w:rPr>
                <w:noProof/>
                <w:webHidden/>
              </w:rPr>
              <w:fldChar w:fldCharType="begin"/>
            </w:r>
            <w:r w:rsidR="003D3AD3">
              <w:rPr>
                <w:noProof/>
                <w:webHidden/>
              </w:rPr>
              <w:instrText xml:space="preserve"> PAGEREF _Toc429322206 \h </w:instrText>
            </w:r>
            <w:r w:rsidR="003D3AD3">
              <w:rPr>
                <w:noProof/>
                <w:webHidden/>
              </w:rPr>
            </w:r>
            <w:r w:rsidR="003D3AD3">
              <w:rPr>
                <w:noProof/>
                <w:webHidden/>
              </w:rPr>
              <w:fldChar w:fldCharType="separate"/>
            </w:r>
            <w:r w:rsidR="003C234A">
              <w:rPr>
                <w:noProof/>
                <w:webHidden/>
              </w:rPr>
              <w:t>4</w:t>
            </w:r>
            <w:r w:rsidR="003D3AD3">
              <w:rPr>
                <w:noProof/>
                <w:webHidden/>
              </w:rPr>
              <w:fldChar w:fldCharType="end"/>
            </w:r>
          </w:hyperlink>
        </w:p>
        <w:p w14:paraId="7B423AED" w14:textId="77777777" w:rsidR="003D3AD3" w:rsidRDefault="004B757C">
          <w:pPr>
            <w:pStyle w:val="TOC2"/>
            <w:tabs>
              <w:tab w:val="right" w:leader="dot" w:pos="9060"/>
            </w:tabs>
            <w:rPr>
              <w:noProof/>
            </w:rPr>
          </w:pPr>
          <w:hyperlink w:anchor="_Toc429322207" w:history="1">
            <w:r w:rsidR="003D3AD3" w:rsidRPr="006B04EB">
              <w:rPr>
                <w:rStyle w:val="Hyperlink"/>
                <w:rFonts w:ascii="Times New Roman" w:hAnsi="Times New Roman" w:cs="Times New Roman"/>
                <w:noProof/>
                <w:lang w:val="en-AU"/>
              </w:rPr>
              <w:t>3. Evaluate Accounting Strategy</w:t>
            </w:r>
            <w:r w:rsidR="003D3AD3">
              <w:rPr>
                <w:noProof/>
                <w:webHidden/>
              </w:rPr>
              <w:tab/>
            </w:r>
            <w:r w:rsidR="003D3AD3">
              <w:rPr>
                <w:noProof/>
                <w:webHidden/>
              </w:rPr>
              <w:fldChar w:fldCharType="begin"/>
            </w:r>
            <w:r w:rsidR="003D3AD3">
              <w:rPr>
                <w:noProof/>
                <w:webHidden/>
              </w:rPr>
              <w:instrText xml:space="preserve"> PAGEREF _Toc429322207 \h </w:instrText>
            </w:r>
            <w:r w:rsidR="003D3AD3">
              <w:rPr>
                <w:noProof/>
                <w:webHidden/>
              </w:rPr>
            </w:r>
            <w:r w:rsidR="003D3AD3">
              <w:rPr>
                <w:noProof/>
                <w:webHidden/>
              </w:rPr>
              <w:fldChar w:fldCharType="separate"/>
            </w:r>
            <w:r w:rsidR="003C234A">
              <w:rPr>
                <w:noProof/>
                <w:webHidden/>
              </w:rPr>
              <w:t>4</w:t>
            </w:r>
            <w:r w:rsidR="003D3AD3">
              <w:rPr>
                <w:noProof/>
                <w:webHidden/>
              </w:rPr>
              <w:fldChar w:fldCharType="end"/>
            </w:r>
          </w:hyperlink>
        </w:p>
        <w:p w14:paraId="36DB9135" w14:textId="77777777" w:rsidR="003D3AD3" w:rsidRDefault="004B757C">
          <w:pPr>
            <w:pStyle w:val="TOC3"/>
            <w:tabs>
              <w:tab w:val="right" w:leader="dot" w:pos="9060"/>
            </w:tabs>
            <w:rPr>
              <w:noProof/>
            </w:rPr>
          </w:pPr>
          <w:hyperlink w:anchor="_Toc429322208" w:history="1">
            <w:r w:rsidR="003D3AD3" w:rsidRPr="006B04EB">
              <w:rPr>
                <w:rStyle w:val="Hyperlink"/>
                <w:noProof/>
                <w:lang w:val="en-AU"/>
              </w:rPr>
              <w:t>Contrast with industry standards</w:t>
            </w:r>
            <w:r w:rsidR="003D3AD3">
              <w:rPr>
                <w:noProof/>
                <w:webHidden/>
              </w:rPr>
              <w:tab/>
            </w:r>
            <w:r w:rsidR="003D3AD3">
              <w:rPr>
                <w:noProof/>
                <w:webHidden/>
              </w:rPr>
              <w:fldChar w:fldCharType="begin"/>
            </w:r>
            <w:r w:rsidR="003D3AD3">
              <w:rPr>
                <w:noProof/>
                <w:webHidden/>
              </w:rPr>
              <w:instrText xml:space="preserve"> PAGEREF _Toc429322208 \h </w:instrText>
            </w:r>
            <w:r w:rsidR="003D3AD3">
              <w:rPr>
                <w:noProof/>
                <w:webHidden/>
              </w:rPr>
            </w:r>
            <w:r w:rsidR="003D3AD3">
              <w:rPr>
                <w:noProof/>
                <w:webHidden/>
              </w:rPr>
              <w:fldChar w:fldCharType="separate"/>
            </w:r>
            <w:r w:rsidR="003C234A">
              <w:rPr>
                <w:noProof/>
                <w:webHidden/>
              </w:rPr>
              <w:t>4</w:t>
            </w:r>
            <w:r w:rsidR="003D3AD3">
              <w:rPr>
                <w:noProof/>
                <w:webHidden/>
              </w:rPr>
              <w:fldChar w:fldCharType="end"/>
            </w:r>
          </w:hyperlink>
        </w:p>
        <w:p w14:paraId="205E6284" w14:textId="77777777" w:rsidR="003D3AD3" w:rsidRDefault="004B757C">
          <w:pPr>
            <w:pStyle w:val="TOC3"/>
            <w:tabs>
              <w:tab w:val="right" w:leader="dot" w:pos="9060"/>
            </w:tabs>
            <w:rPr>
              <w:noProof/>
            </w:rPr>
          </w:pPr>
          <w:hyperlink w:anchor="_Toc429322209" w:history="1">
            <w:r w:rsidR="003D3AD3" w:rsidRPr="006B04EB">
              <w:rPr>
                <w:rStyle w:val="Hyperlink"/>
                <w:noProof/>
                <w:lang w:val="en-AU"/>
              </w:rPr>
              <w:t>Does administration have motivations to control?</w:t>
            </w:r>
            <w:r w:rsidR="003D3AD3">
              <w:rPr>
                <w:noProof/>
                <w:webHidden/>
              </w:rPr>
              <w:tab/>
            </w:r>
            <w:r w:rsidR="003D3AD3">
              <w:rPr>
                <w:noProof/>
                <w:webHidden/>
              </w:rPr>
              <w:fldChar w:fldCharType="begin"/>
            </w:r>
            <w:r w:rsidR="003D3AD3">
              <w:rPr>
                <w:noProof/>
                <w:webHidden/>
              </w:rPr>
              <w:instrText xml:space="preserve"> PAGEREF _Toc429322209 \h </w:instrText>
            </w:r>
            <w:r w:rsidR="003D3AD3">
              <w:rPr>
                <w:noProof/>
                <w:webHidden/>
              </w:rPr>
            </w:r>
            <w:r w:rsidR="003D3AD3">
              <w:rPr>
                <w:noProof/>
                <w:webHidden/>
              </w:rPr>
              <w:fldChar w:fldCharType="separate"/>
            </w:r>
            <w:r w:rsidR="003C234A">
              <w:rPr>
                <w:noProof/>
                <w:webHidden/>
              </w:rPr>
              <w:t>6</w:t>
            </w:r>
            <w:r w:rsidR="003D3AD3">
              <w:rPr>
                <w:noProof/>
                <w:webHidden/>
              </w:rPr>
              <w:fldChar w:fldCharType="end"/>
            </w:r>
          </w:hyperlink>
        </w:p>
        <w:p w14:paraId="5FF627A3" w14:textId="77777777" w:rsidR="003D3AD3" w:rsidRDefault="004B757C">
          <w:pPr>
            <w:pStyle w:val="TOC3"/>
            <w:tabs>
              <w:tab w:val="right" w:leader="dot" w:pos="9060"/>
            </w:tabs>
            <w:rPr>
              <w:noProof/>
            </w:rPr>
          </w:pPr>
          <w:hyperlink w:anchor="_Toc429322210" w:history="1">
            <w:r w:rsidR="003D3AD3" w:rsidRPr="006B04EB">
              <w:rPr>
                <w:rStyle w:val="Hyperlink"/>
                <w:noProof/>
                <w:lang w:val="en-AU"/>
              </w:rPr>
              <w:t>Any adjustments in arrangements/gauges?</w:t>
            </w:r>
            <w:r w:rsidR="003D3AD3">
              <w:rPr>
                <w:noProof/>
                <w:webHidden/>
              </w:rPr>
              <w:tab/>
            </w:r>
            <w:r w:rsidR="003D3AD3">
              <w:rPr>
                <w:noProof/>
                <w:webHidden/>
              </w:rPr>
              <w:fldChar w:fldCharType="begin"/>
            </w:r>
            <w:r w:rsidR="003D3AD3">
              <w:rPr>
                <w:noProof/>
                <w:webHidden/>
              </w:rPr>
              <w:instrText xml:space="preserve"> PAGEREF _Toc429322210 \h </w:instrText>
            </w:r>
            <w:r w:rsidR="003D3AD3">
              <w:rPr>
                <w:noProof/>
                <w:webHidden/>
              </w:rPr>
            </w:r>
            <w:r w:rsidR="003D3AD3">
              <w:rPr>
                <w:noProof/>
                <w:webHidden/>
              </w:rPr>
              <w:fldChar w:fldCharType="separate"/>
            </w:r>
            <w:r w:rsidR="003C234A">
              <w:rPr>
                <w:noProof/>
                <w:webHidden/>
              </w:rPr>
              <w:t>6</w:t>
            </w:r>
            <w:r w:rsidR="003D3AD3">
              <w:rPr>
                <w:noProof/>
                <w:webHidden/>
              </w:rPr>
              <w:fldChar w:fldCharType="end"/>
            </w:r>
          </w:hyperlink>
        </w:p>
        <w:p w14:paraId="015B6F36" w14:textId="77777777" w:rsidR="003D3AD3" w:rsidRDefault="004B757C">
          <w:pPr>
            <w:pStyle w:val="TOC3"/>
            <w:tabs>
              <w:tab w:val="right" w:leader="dot" w:pos="9060"/>
            </w:tabs>
            <w:rPr>
              <w:noProof/>
            </w:rPr>
          </w:pPr>
          <w:hyperlink w:anchor="_Toc429322211" w:history="1">
            <w:r w:rsidR="003D3AD3" w:rsidRPr="006B04EB">
              <w:rPr>
                <w:rStyle w:val="Hyperlink"/>
                <w:noProof/>
                <w:lang w:val="en-AU"/>
              </w:rPr>
              <w:t>What is the historical backdrop of bookkeeping conformities?</w:t>
            </w:r>
            <w:r w:rsidR="003D3AD3">
              <w:rPr>
                <w:noProof/>
                <w:webHidden/>
              </w:rPr>
              <w:tab/>
            </w:r>
            <w:r w:rsidR="003D3AD3">
              <w:rPr>
                <w:noProof/>
                <w:webHidden/>
              </w:rPr>
              <w:fldChar w:fldCharType="begin"/>
            </w:r>
            <w:r w:rsidR="003D3AD3">
              <w:rPr>
                <w:noProof/>
                <w:webHidden/>
              </w:rPr>
              <w:instrText xml:space="preserve"> PAGEREF _Toc429322211 \h </w:instrText>
            </w:r>
            <w:r w:rsidR="003D3AD3">
              <w:rPr>
                <w:noProof/>
                <w:webHidden/>
              </w:rPr>
            </w:r>
            <w:r w:rsidR="003D3AD3">
              <w:rPr>
                <w:noProof/>
                <w:webHidden/>
              </w:rPr>
              <w:fldChar w:fldCharType="separate"/>
            </w:r>
            <w:r w:rsidR="003C234A">
              <w:rPr>
                <w:noProof/>
                <w:webHidden/>
              </w:rPr>
              <w:t>7</w:t>
            </w:r>
            <w:r w:rsidR="003D3AD3">
              <w:rPr>
                <w:noProof/>
                <w:webHidden/>
              </w:rPr>
              <w:fldChar w:fldCharType="end"/>
            </w:r>
          </w:hyperlink>
        </w:p>
        <w:p w14:paraId="2BC619AC" w14:textId="77777777" w:rsidR="003D3AD3" w:rsidRDefault="004B757C">
          <w:pPr>
            <w:pStyle w:val="TOC3"/>
            <w:tabs>
              <w:tab w:val="right" w:leader="dot" w:pos="9060"/>
            </w:tabs>
            <w:rPr>
              <w:noProof/>
            </w:rPr>
          </w:pPr>
          <w:hyperlink w:anchor="_Toc429322212" w:history="1">
            <w:r w:rsidR="003D3AD3" w:rsidRPr="006B04EB">
              <w:rPr>
                <w:rStyle w:val="Hyperlink"/>
                <w:noProof/>
                <w:lang w:val="en-AU"/>
              </w:rPr>
              <w:t>Are any exchanges organized just for a bookkeeping result?</w:t>
            </w:r>
            <w:r w:rsidR="003D3AD3">
              <w:rPr>
                <w:noProof/>
                <w:webHidden/>
              </w:rPr>
              <w:tab/>
            </w:r>
            <w:r w:rsidR="003D3AD3">
              <w:rPr>
                <w:noProof/>
                <w:webHidden/>
              </w:rPr>
              <w:fldChar w:fldCharType="begin"/>
            </w:r>
            <w:r w:rsidR="003D3AD3">
              <w:rPr>
                <w:noProof/>
                <w:webHidden/>
              </w:rPr>
              <w:instrText xml:space="preserve"> PAGEREF _Toc429322212 \h </w:instrText>
            </w:r>
            <w:r w:rsidR="003D3AD3">
              <w:rPr>
                <w:noProof/>
                <w:webHidden/>
              </w:rPr>
            </w:r>
            <w:r w:rsidR="003D3AD3">
              <w:rPr>
                <w:noProof/>
                <w:webHidden/>
              </w:rPr>
              <w:fldChar w:fldCharType="separate"/>
            </w:r>
            <w:r w:rsidR="003C234A">
              <w:rPr>
                <w:noProof/>
                <w:webHidden/>
              </w:rPr>
              <w:t>7</w:t>
            </w:r>
            <w:r w:rsidR="003D3AD3">
              <w:rPr>
                <w:noProof/>
                <w:webHidden/>
              </w:rPr>
              <w:fldChar w:fldCharType="end"/>
            </w:r>
          </w:hyperlink>
        </w:p>
        <w:p w14:paraId="69D3B805" w14:textId="77777777" w:rsidR="003D3AD3" w:rsidRDefault="004B757C">
          <w:pPr>
            <w:pStyle w:val="TOC2"/>
            <w:tabs>
              <w:tab w:val="right" w:leader="dot" w:pos="9060"/>
            </w:tabs>
            <w:rPr>
              <w:noProof/>
            </w:rPr>
          </w:pPr>
          <w:hyperlink w:anchor="_Toc429322213" w:history="1">
            <w:r w:rsidR="003D3AD3" w:rsidRPr="006B04EB">
              <w:rPr>
                <w:rStyle w:val="Hyperlink"/>
                <w:rFonts w:ascii="Times New Roman" w:hAnsi="Times New Roman" w:cs="Times New Roman"/>
                <w:noProof/>
                <w:lang w:val="en-AU"/>
              </w:rPr>
              <w:t>4. Evaluate the Quality of Disclosure (appendix 9)</w:t>
            </w:r>
            <w:r w:rsidR="003D3AD3">
              <w:rPr>
                <w:noProof/>
                <w:webHidden/>
              </w:rPr>
              <w:tab/>
            </w:r>
            <w:r w:rsidR="003D3AD3">
              <w:rPr>
                <w:noProof/>
                <w:webHidden/>
              </w:rPr>
              <w:fldChar w:fldCharType="begin"/>
            </w:r>
            <w:r w:rsidR="003D3AD3">
              <w:rPr>
                <w:noProof/>
                <w:webHidden/>
              </w:rPr>
              <w:instrText xml:space="preserve"> PAGEREF _Toc429322213 \h </w:instrText>
            </w:r>
            <w:r w:rsidR="003D3AD3">
              <w:rPr>
                <w:noProof/>
                <w:webHidden/>
              </w:rPr>
            </w:r>
            <w:r w:rsidR="003D3AD3">
              <w:rPr>
                <w:noProof/>
                <w:webHidden/>
              </w:rPr>
              <w:fldChar w:fldCharType="separate"/>
            </w:r>
            <w:r w:rsidR="003C234A">
              <w:rPr>
                <w:noProof/>
                <w:webHidden/>
              </w:rPr>
              <w:t>7</w:t>
            </w:r>
            <w:r w:rsidR="003D3AD3">
              <w:rPr>
                <w:noProof/>
                <w:webHidden/>
              </w:rPr>
              <w:fldChar w:fldCharType="end"/>
            </w:r>
          </w:hyperlink>
        </w:p>
        <w:p w14:paraId="7A4789AB" w14:textId="77777777" w:rsidR="003D3AD3" w:rsidRDefault="004B757C">
          <w:pPr>
            <w:pStyle w:val="TOC2"/>
            <w:tabs>
              <w:tab w:val="right" w:leader="dot" w:pos="9060"/>
            </w:tabs>
            <w:rPr>
              <w:noProof/>
            </w:rPr>
          </w:pPr>
          <w:hyperlink w:anchor="_Toc429322214" w:history="1">
            <w:r w:rsidR="003D3AD3" w:rsidRPr="006B04EB">
              <w:rPr>
                <w:rStyle w:val="Hyperlink"/>
                <w:rFonts w:ascii="Times New Roman" w:hAnsi="Times New Roman" w:cs="Times New Roman"/>
                <w:noProof/>
                <w:lang w:val="en-AU"/>
              </w:rPr>
              <w:t>5. Potential Red Flags</w:t>
            </w:r>
            <w:r w:rsidR="003D3AD3">
              <w:rPr>
                <w:noProof/>
                <w:webHidden/>
              </w:rPr>
              <w:tab/>
            </w:r>
            <w:r w:rsidR="003D3AD3">
              <w:rPr>
                <w:noProof/>
                <w:webHidden/>
              </w:rPr>
              <w:fldChar w:fldCharType="begin"/>
            </w:r>
            <w:r w:rsidR="003D3AD3">
              <w:rPr>
                <w:noProof/>
                <w:webHidden/>
              </w:rPr>
              <w:instrText xml:space="preserve"> PAGEREF _Toc429322214 \h </w:instrText>
            </w:r>
            <w:r w:rsidR="003D3AD3">
              <w:rPr>
                <w:noProof/>
                <w:webHidden/>
              </w:rPr>
            </w:r>
            <w:r w:rsidR="003D3AD3">
              <w:rPr>
                <w:noProof/>
                <w:webHidden/>
              </w:rPr>
              <w:fldChar w:fldCharType="separate"/>
            </w:r>
            <w:r w:rsidR="003C234A">
              <w:rPr>
                <w:noProof/>
                <w:webHidden/>
              </w:rPr>
              <w:t>8</w:t>
            </w:r>
            <w:r w:rsidR="003D3AD3">
              <w:rPr>
                <w:noProof/>
                <w:webHidden/>
              </w:rPr>
              <w:fldChar w:fldCharType="end"/>
            </w:r>
          </w:hyperlink>
        </w:p>
        <w:p w14:paraId="25795238" w14:textId="77777777" w:rsidR="003D3AD3" w:rsidRDefault="004B757C">
          <w:pPr>
            <w:pStyle w:val="TOC1"/>
            <w:tabs>
              <w:tab w:val="right" w:leader="dot" w:pos="9060"/>
            </w:tabs>
            <w:rPr>
              <w:noProof/>
            </w:rPr>
          </w:pPr>
          <w:hyperlink w:anchor="_Toc429322215" w:history="1">
            <w:r w:rsidR="003D3AD3" w:rsidRPr="006B04EB">
              <w:rPr>
                <w:rStyle w:val="Hyperlink"/>
                <w:rFonts w:ascii="Times New Roman" w:hAnsi="Times New Roman" w:cs="Times New Roman"/>
                <w:noProof/>
              </w:rPr>
              <w:t>Financial Analysis</w:t>
            </w:r>
            <w:r w:rsidR="003D3AD3">
              <w:rPr>
                <w:noProof/>
                <w:webHidden/>
              </w:rPr>
              <w:tab/>
            </w:r>
            <w:r w:rsidR="003D3AD3">
              <w:rPr>
                <w:noProof/>
                <w:webHidden/>
              </w:rPr>
              <w:fldChar w:fldCharType="begin"/>
            </w:r>
            <w:r w:rsidR="003D3AD3">
              <w:rPr>
                <w:noProof/>
                <w:webHidden/>
              </w:rPr>
              <w:instrText xml:space="preserve"> PAGEREF _Toc429322215 \h </w:instrText>
            </w:r>
            <w:r w:rsidR="003D3AD3">
              <w:rPr>
                <w:noProof/>
                <w:webHidden/>
              </w:rPr>
            </w:r>
            <w:r w:rsidR="003D3AD3">
              <w:rPr>
                <w:noProof/>
                <w:webHidden/>
              </w:rPr>
              <w:fldChar w:fldCharType="separate"/>
            </w:r>
            <w:r w:rsidR="003C234A">
              <w:rPr>
                <w:noProof/>
                <w:webHidden/>
              </w:rPr>
              <w:t>8</w:t>
            </w:r>
            <w:r w:rsidR="003D3AD3">
              <w:rPr>
                <w:noProof/>
                <w:webHidden/>
              </w:rPr>
              <w:fldChar w:fldCharType="end"/>
            </w:r>
          </w:hyperlink>
        </w:p>
        <w:p w14:paraId="3A53F3CE" w14:textId="77777777" w:rsidR="003D3AD3" w:rsidRDefault="004B757C">
          <w:pPr>
            <w:pStyle w:val="TOC2"/>
            <w:tabs>
              <w:tab w:val="right" w:leader="dot" w:pos="9060"/>
            </w:tabs>
            <w:rPr>
              <w:noProof/>
            </w:rPr>
          </w:pPr>
          <w:hyperlink w:anchor="_Toc429322216" w:history="1">
            <w:r w:rsidR="003D3AD3" w:rsidRPr="006B04EB">
              <w:rPr>
                <w:rStyle w:val="Hyperlink"/>
                <w:rFonts w:ascii="Times New Roman" w:hAnsi="Times New Roman" w:cs="Times New Roman"/>
                <w:noProof/>
              </w:rPr>
              <w:t>Ratio Analysis (Appendix 3)</w:t>
            </w:r>
            <w:r w:rsidR="003D3AD3">
              <w:rPr>
                <w:noProof/>
                <w:webHidden/>
              </w:rPr>
              <w:tab/>
            </w:r>
            <w:r w:rsidR="003D3AD3">
              <w:rPr>
                <w:noProof/>
                <w:webHidden/>
              </w:rPr>
              <w:fldChar w:fldCharType="begin"/>
            </w:r>
            <w:r w:rsidR="003D3AD3">
              <w:rPr>
                <w:noProof/>
                <w:webHidden/>
              </w:rPr>
              <w:instrText xml:space="preserve"> PAGEREF _Toc429322216 \h </w:instrText>
            </w:r>
            <w:r w:rsidR="003D3AD3">
              <w:rPr>
                <w:noProof/>
                <w:webHidden/>
              </w:rPr>
            </w:r>
            <w:r w:rsidR="003D3AD3">
              <w:rPr>
                <w:noProof/>
                <w:webHidden/>
              </w:rPr>
              <w:fldChar w:fldCharType="separate"/>
            </w:r>
            <w:r w:rsidR="003C234A">
              <w:rPr>
                <w:noProof/>
                <w:webHidden/>
              </w:rPr>
              <w:t>9</w:t>
            </w:r>
            <w:r w:rsidR="003D3AD3">
              <w:rPr>
                <w:noProof/>
                <w:webHidden/>
              </w:rPr>
              <w:fldChar w:fldCharType="end"/>
            </w:r>
          </w:hyperlink>
        </w:p>
        <w:p w14:paraId="41BCE7EC" w14:textId="77777777" w:rsidR="003D3AD3" w:rsidRDefault="004B757C">
          <w:pPr>
            <w:pStyle w:val="TOC3"/>
            <w:tabs>
              <w:tab w:val="right" w:leader="dot" w:pos="9060"/>
            </w:tabs>
            <w:rPr>
              <w:noProof/>
            </w:rPr>
          </w:pPr>
          <w:hyperlink w:anchor="_Toc429322217" w:history="1">
            <w:r w:rsidR="003D3AD3" w:rsidRPr="006B04EB">
              <w:rPr>
                <w:rStyle w:val="Hyperlink"/>
                <w:rFonts w:ascii="Times New Roman" w:hAnsi="Times New Roman" w:cs="Times New Roman"/>
                <w:noProof/>
              </w:rPr>
              <w:t>Return on Equity (ROE) (Appendix 4)</w:t>
            </w:r>
            <w:r w:rsidR="003D3AD3">
              <w:rPr>
                <w:noProof/>
                <w:webHidden/>
              </w:rPr>
              <w:tab/>
            </w:r>
            <w:r w:rsidR="003D3AD3">
              <w:rPr>
                <w:noProof/>
                <w:webHidden/>
              </w:rPr>
              <w:fldChar w:fldCharType="begin"/>
            </w:r>
            <w:r w:rsidR="003D3AD3">
              <w:rPr>
                <w:noProof/>
                <w:webHidden/>
              </w:rPr>
              <w:instrText xml:space="preserve"> PAGEREF _Toc429322217 \h </w:instrText>
            </w:r>
            <w:r w:rsidR="003D3AD3">
              <w:rPr>
                <w:noProof/>
                <w:webHidden/>
              </w:rPr>
            </w:r>
            <w:r w:rsidR="003D3AD3">
              <w:rPr>
                <w:noProof/>
                <w:webHidden/>
              </w:rPr>
              <w:fldChar w:fldCharType="separate"/>
            </w:r>
            <w:r w:rsidR="003C234A">
              <w:rPr>
                <w:noProof/>
                <w:webHidden/>
              </w:rPr>
              <w:t>9</w:t>
            </w:r>
            <w:r w:rsidR="003D3AD3">
              <w:rPr>
                <w:noProof/>
                <w:webHidden/>
              </w:rPr>
              <w:fldChar w:fldCharType="end"/>
            </w:r>
          </w:hyperlink>
        </w:p>
        <w:p w14:paraId="071A2A85" w14:textId="77777777" w:rsidR="003D3AD3" w:rsidRDefault="004B757C">
          <w:pPr>
            <w:pStyle w:val="TOC3"/>
            <w:tabs>
              <w:tab w:val="right" w:leader="dot" w:pos="9060"/>
            </w:tabs>
            <w:rPr>
              <w:noProof/>
            </w:rPr>
          </w:pPr>
          <w:hyperlink w:anchor="_Toc429322218" w:history="1">
            <w:r w:rsidR="003D3AD3" w:rsidRPr="006B04EB">
              <w:rPr>
                <w:rStyle w:val="Hyperlink"/>
                <w:rFonts w:ascii="Times New Roman" w:hAnsi="Times New Roman" w:cs="Times New Roman"/>
                <w:noProof/>
              </w:rPr>
              <w:t>Net revenue (PM) (Appendix 5)</w:t>
            </w:r>
            <w:r w:rsidR="003D3AD3">
              <w:rPr>
                <w:noProof/>
                <w:webHidden/>
              </w:rPr>
              <w:tab/>
            </w:r>
            <w:r w:rsidR="003D3AD3">
              <w:rPr>
                <w:noProof/>
                <w:webHidden/>
              </w:rPr>
              <w:fldChar w:fldCharType="begin"/>
            </w:r>
            <w:r w:rsidR="003D3AD3">
              <w:rPr>
                <w:noProof/>
                <w:webHidden/>
              </w:rPr>
              <w:instrText xml:space="preserve"> PAGEREF _Toc429322218 \h </w:instrText>
            </w:r>
            <w:r w:rsidR="003D3AD3">
              <w:rPr>
                <w:noProof/>
                <w:webHidden/>
              </w:rPr>
            </w:r>
            <w:r w:rsidR="003D3AD3">
              <w:rPr>
                <w:noProof/>
                <w:webHidden/>
              </w:rPr>
              <w:fldChar w:fldCharType="separate"/>
            </w:r>
            <w:r w:rsidR="003C234A">
              <w:rPr>
                <w:noProof/>
                <w:webHidden/>
              </w:rPr>
              <w:t>10</w:t>
            </w:r>
            <w:r w:rsidR="003D3AD3">
              <w:rPr>
                <w:noProof/>
                <w:webHidden/>
              </w:rPr>
              <w:fldChar w:fldCharType="end"/>
            </w:r>
          </w:hyperlink>
        </w:p>
        <w:p w14:paraId="11DDE55E" w14:textId="77777777" w:rsidR="003D3AD3" w:rsidRDefault="004B757C">
          <w:pPr>
            <w:pStyle w:val="TOC3"/>
            <w:tabs>
              <w:tab w:val="right" w:leader="dot" w:pos="9060"/>
            </w:tabs>
            <w:rPr>
              <w:noProof/>
            </w:rPr>
          </w:pPr>
          <w:hyperlink w:anchor="_Toc429322219" w:history="1">
            <w:r w:rsidR="003D3AD3" w:rsidRPr="006B04EB">
              <w:rPr>
                <w:rStyle w:val="Hyperlink"/>
                <w:rFonts w:ascii="Times New Roman" w:hAnsi="Times New Roman" w:cs="Times New Roman"/>
                <w:noProof/>
              </w:rPr>
              <w:t>Assets Turnover Ratio (Appendix 6)</w:t>
            </w:r>
            <w:r w:rsidR="003D3AD3">
              <w:rPr>
                <w:noProof/>
                <w:webHidden/>
              </w:rPr>
              <w:tab/>
            </w:r>
            <w:r w:rsidR="003D3AD3">
              <w:rPr>
                <w:noProof/>
                <w:webHidden/>
              </w:rPr>
              <w:fldChar w:fldCharType="begin"/>
            </w:r>
            <w:r w:rsidR="003D3AD3">
              <w:rPr>
                <w:noProof/>
                <w:webHidden/>
              </w:rPr>
              <w:instrText xml:space="preserve"> PAGEREF _Toc429322219 \h </w:instrText>
            </w:r>
            <w:r w:rsidR="003D3AD3">
              <w:rPr>
                <w:noProof/>
                <w:webHidden/>
              </w:rPr>
            </w:r>
            <w:r w:rsidR="003D3AD3">
              <w:rPr>
                <w:noProof/>
                <w:webHidden/>
              </w:rPr>
              <w:fldChar w:fldCharType="separate"/>
            </w:r>
            <w:r w:rsidR="003C234A">
              <w:rPr>
                <w:noProof/>
                <w:webHidden/>
              </w:rPr>
              <w:t>11</w:t>
            </w:r>
            <w:r w:rsidR="003D3AD3">
              <w:rPr>
                <w:noProof/>
                <w:webHidden/>
              </w:rPr>
              <w:fldChar w:fldCharType="end"/>
            </w:r>
          </w:hyperlink>
        </w:p>
        <w:p w14:paraId="08B511B5" w14:textId="77777777" w:rsidR="003D3AD3" w:rsidRDefault="004B757C">
          <w:pPr>
            <w:pStyle w:val="TOC3"/>
            <w:tabs>
              <w:tab w:val="right" w:leader="dot" w:pos="9060"/>
            </w:tabs>
            <w:rPr>
              <w:noProof/>
            </w:rPr>
          </w:pPr>
          <w:hyperlink w:anchor="_Toc429322220" w:history="1">
            <w:r w:rsidR="003D3AD3" w:rsidRPr="006B04EB">
              <w:rPr>
                <w:rStyle w:val="Hyperlink"/>
                <w:rFonts w:ascii="Times New Roman" w:hAnsi="Times New Roman" w:cs="Times New Roman"/>
                <w:noProof/>
              </w:rPr>
              <w:t>Leverage Ratio (Appendix 7)</w:t>
            </w:r>
            <w:r w:rsidR="003D3AD3">
              <w:rPr>
                <w:noProof/>
                <w:webHidden/>
              </w:rPr>
              <w:tab/>
            </w:r>
            <w:r w:rsidR="003D3AD3">
              <w:rPr>
                <w:noProof/>
                <w:webHidden/>
              </w:rPr>
              <w:fldChar w:fldCharType="begin"/>
            </w:r>
            <w:r w:rsidR="003D3AD3">
              <w:rPr>
                <w:noProof/>
                <w:webHidden/>
              </w:rPr>
              <w:instrText xml:space="preserve"> PAGEREF _Toc429322220 \h </w:instrText>
            </w:r>
            <w:r w:rsidR="003D3AD3">
              <w:rPr>
                <w:noProof/>
                <w:webHidden/>
              </w:rPr>
            </w:r>
            <w:r w:rsidR="003D3AD3">
              <w:rPr>
                <w:noProof/>
                <w:webHidden/>
              </w:rPr>
              <w:fldChar w:fldCharType="separate"/>
            </w:r>
            <w:r w:rsidR="003C234A">
              <w:rPr>
                <w:noProof/>
                <w:webHidden/>
              </w:rPr>
              <w:t>11</w:t>
            </w:r>
            <w:r w:rsidR="003D3AD3">
              <w:rPr>
                <w:noProof/>
                <w:webHidden/>
              </w:rPr>
              <w:fldChar w:fldCharType="end"/>
            </w:r>
          </w:hyperlink>
        </w:p>
        <w:p w14:paraId="2574F5F7" w14:textId="77777777" w:rsidR="003D3AD3" w:rsidRDefault="004B757C">
          <w:pPr>
            <w:pStyle w:val="TOC2"/>
            <w:tabs>
              <w:tab w:val="right" w:leader="dot" w:pos="9060"/>
            </w:tabs>
            <w:rPr>
              <w:noProof/>
            </w:rPr>
          </w:pPr>
          <w:hyperlink w:anchor="_Toc429322221" w:history="1">
            <w:r w:rsidR="003D3AD3" w:rsidRPr="006B04EB">
              <w:rPr>
                <w:rStyle w:val="Hyperlink"/>
                <w:rFonts w:ascii="Times New Roman" w:hAnsi="Times New Roman" w:cs="Times New Roman"/>
                <w:noProof/>
              </w:rPr>
              <w:t>Cash Flow Analysis</w:t>
            </w:r>
            <w:r w:rsidR="003D3AD3">
              <w:rPr>
                <w:noProof/>
                <w:webHidden/>
              </w:rPr>
              <w:tab/>
            </w:r>
            <w:r w:rsidR="003D3AD3">
              <w:rPr>
                <w:noProof/>
                <w:webHidden/>
              </w:rPr>
              <w:fldChar w:fldCharType="begin"/>
            </w:r>
            <w:r w:rsidR="003D3AD3">
              <w:rPr>
                <w:noProof/>
                <w:webHidden/>
              </w:rPr>
              <w:instrText xml:space="preserve"> PAGEREF _Toc429322221 \h </w:instrText>
            </w:r>
            <w:r w:rsidR="003D3AD3">
              <w:rPr>
                <w:noProof/>
                <w:webHidden/>
              </w:rPr>
            </w:r>
            <w:r w:rsidR="003D3AD3">
              <w:rPr>
                <w:noProof/>
                <w:webHidden/>
              </w:rPr>
              <w:fldChar w:fldCharType="separate"/>
            </w:r>
            <w:r w:rsidR="003C234A">
              <w:rPr>
                <w:noProof/>
                <w:webHidden/>
              </w:rPr>
              <w:t>12</w:t>
            </w:r>
            <w:r w:rsidR="003D3AD3">
              <w:rPr>
                <w:noProof/>
                <w:webHidden/>
              </w:rPr>
              <w:fldChar w:fldCharType="end"/>
            </w:r>
          </w:hyperlink>
        </w:p>
        <w:p w14:paraId="130CDAD3" w14:textId="77777777" w:rsidR="003D3AD3" w:rsidRDefault="004B757C">
          <w:pPr>
            <w:pStyle w:val="TOC1"/>
            <w:tabs>
              <w:tab w:val="right" w:leader="dot" w:pos="9060"/>
            </w:tabs>
            <w:rPr>
              <w:noProof/>
            </w:rPr>
          </w:pPr>
          <w:hyperlink w:anchor="_Toc429322222" w:history="1">
            <w:r w:rsidR="003D3AD3" w:rsidRPr="006B04EB">
              <w:rPr>
                <w:rStyle w:val="Hyperlink"/>
                <w:noProof/>
              </w:rPr>
              <w:t>Bibliography</w:t>
            </w:r>
            <w:r w:rsidR="003D3AD3">
              <w:rPr>
                <w:noProof/>
                <w:webHidden/>
              </w:rPr>
              <w:tab/>
            </w:r>
            <w:r w:rsidR="003D3AD3">
              <w:rPr>
                <w:noProof/>
                <w:webHidden/>
              </w:rPr>
              <w:fldChar w:fldCharType="begin"/>
            </w:r>
            <w:r w:rsidR="003D3AD3">
              <w:rPr>
                <w:noProof/>
                <w:webHidden/>
              </w:rPr>
              <w:instrText xml:space="preserve"> PAGEREF _Toc429322222 \h </w:instrText>
            </w:r>
            <w:r w:rsidR="003D3AD3">
              <w:rPr>
                <w:noProof/>
                <w:webHidden/>
              </w:rPr>
            </w:r>
            <w:r w:rsidR="003D3AD3">
              <w:rPr>
                <w:noProof/>
                <w:webHidden/>
              </w:rPr>
              <w:fldChar w:fldCharType="separate"/>
            </w:r>
            <w:r w:rsidR="003C234A">
              <w:rPr>
                <w:noProof/>
                <w:webHidden/>
              </w:rPr>
              <w:t>14</w:t>
            </w:r>
            <w:r w:rsidR="003D3AD3">
              <w:rPr>
                <w:noProof/>
                <w:webHidden/>
              </w:rPr>
              <w:fldChar w:fldCharType="end"/>
            </w:r>
          </w:hyperlink>
        </w:p>
        <w:p w14:paraId="267EB963" w14:textId="6F339F2D" w:rsidR="003D3AD3" w:rsidRDefault="003D3AD3">
          <w:r>
            <w:rPr>
              <w:b/>
              <w:bCs/>
              <w:noProof/>
            </w:rPr>
            <w:fldChar w:fldCharType="end"/>
          </w:r>
        </w:p>
      </w:sdtContent>
    </w:sdt>
    <w:p w14:paraId="3BE7BCCC" w14:textId="77777777" w:rsidR="003D3AD3" w:rsidRDefault="003D3AD3" w:rsidP="00652892">
      <w:pPr>
        <w:pStyle w:val="Heading1"/>
        <w:spacing w:line="600" w:lineRule="auto"/>
        <w:jc w:val="both"/>
        <w:rPr>
          <w:rFonts w:ascii="Times New Roman" w:hAnsi="Times New Roman" w:cs="Times New Roman"/>
          <w:sz w:val="24"/>
          <w:szCs w:val="24"/>
        </w:rPr>
      </w:pPr>
    </w:p>
    <w:p w14:paraId="4C6FCFC8" w14:textId="77777777" w:rsidR="003D3AD3" w:rsidRDefault="003D3AD3">
      <w:pPr>
        <w:rPr>
          <w:rFonts w:ascii="Times New Roman" w:eastAsiaTheme="majorEastAsia" w:hAnsi="Times New Roman" w:cs="Times New Roman"/>
          <w:b/>
          <w:bCs/>
          <w:color w:val="365F91" w:themeColor="accent1" w:themeShade="BF"/>
          <w:sz w:val="24"/>
          <w:szCs w:val="24"/>
          <w:lang w:val="en-US"/>
        </w:rPr>
      </w:pPr>
      <w:r>
        <w:rPr>
          <w:rFonts w:ascii="Times New Roman" w:hAnsi="Times New Roman" w:cs="Times New Roman"/>
          <w:sz w:val="24"/>
          <w:szCs w:val="24"/>
        </w:rPr>
        <w:br w:type="page"/>
      </w:r>
    </w:p>
    <w:p w14:paraId="13576C49" w14:textId="4442A990" w:rsidR="00713F63" w:rsidRPr="002E5F86" w:rsidRDefault="00713F63" w:rsidP="00652892">
      <w:pPr>
        <w:pStyle w:val="Heading1"/>
        <w:spacing w:line="600" w:lineRule="auto"/>
        <w:jc w:val="both"/>
        <w:rPr>
          <w:rFonts w:ascii="Times New Roman" w:hAnsi="Times New Roman" w:cs="Times New Roman"/>
          <w:sz w:val="24"/>
          <w:szCs w:val="24"/>
        </w:rPr>
      </w:pPr>
      <w:bookmarkStart w:id="0" w:name="_Toc429322201"/>
      <w:r w:rsidRPr="002E5F86">
        <w:rPr>
          <w:rFonts w:ascii="Times New Roman" w:hAnsi="Times New Roman" w:cs="Times New Roman"/>
          <w:sz w:val="24"/>
          <w:szCs w:val="24"/>
        </w:rPr>
        <w:lastRenderedPageBreak/>
        <w:t>Accounting Analysis</w:t>
      </w:r>
      <w:bookmarkEnd w:id="0"/>
    </w:p>
    <w:p w14:paraId="1BE1EA1D" w14:textId="039EBD49" w:rsidR="00F6774E" w:rsidRPr="002E5F86" w:rsidRDefault="00EC2B12" w:rsidP="00652892">
      <w:pPr>
        <w:pStyle w:val="Heading2"/>
        <w:spacing w:line="600" w:lineRule="auto"/>
        <w:jc w:val="both"/>
        <w:rPr>
          <w:rFonts w:ascii="Times New Roman" w:hAnsi="Times New Roman" w:cs="Times New Roman"/>
          <w:sz w:val="24"/>
          <w:szCs w:val="24"/>
          <w:lang w:val="en-AU"/>
        </w:rPr>
      </w:pPr>
      <w:bookmarkStart w:id="1" w:name="_Toc429322202"/>
      <w:r w:rsidRPr="002E5F86">
        <w:rPr>
          <w:rFonts w:ascii="Times New Roman" w:hAnsi="Times New Roman" w:cs="Times New Roman"/>
          <w:b w:val="0"/>
          <w:bCs w:val="0"/>
          <w:sz w:val="24"/>
          <w:szCs w:val="24"/>
          <w:lang w:val="en-AU"/>
        </w:rPr>
        <w:t>1.</w:t>
      </w:r>
      <w:r w:rsidRPr="002E5F86">
        <w:rPr>
          <w:rFonts w:ascii="Times New Roman" w:hAnsi="Times New Roman" w:cs="Times New Roman"/>
          <w:sz w:val="24"/>
          <w:szCs w:val="24"/>
          <w:lang w:val="en-AU"/>
        </w:rPr>
        <w:t xml:space="preserve"> </w:t>
      </w:r>
      <w:r w:rsidR="00713F63" w:rsidRPr="002E5F86">
        <w:rPr>
          <w:rFonts w:ascii="Times New Roman" w:hAnsi="Times New Roman" w:cs="Times New Roman"/>
          <w:sz w:val="24"/>
          <w:szCs w:val="24"/>
          <w:lang w:val="en-AU"/>
        </w:rPr>
        <w:t>Identifying Key Accounting Policies</w:t>
      </w:r>
      <w:bookmarkEnd w:id="1"/>
    </w:p>
    <w:p w14:paraId="17B9A9D8" w14:textId="56418CB7" w:rsidR="00BB370D" w:rsidRPr="002E5F86" w:rsidRDefault="00AB0653" w:rsidP="00AB0653">
      <w:pPr>
        <w:pStyle w:val="Heading3"/>
      </w:pPr>
      <w:bookmarkStart w:id="2" w:name="_Toc429322203"/>
      <w:r w:rsidRPr="002E5F86">
        <w:rPr>
          <w:rFonts w:ascii="Times New Roman" w:eastAsiaTheme="minorEastAsia" w:hAnsi="Times New Roman" w:cs="Times New Roman"/>
          <w:color w:val="auto"/>
          <w:lang w:val="en-AU"/>
        </w:rPr>
        <w:t>I</w:t>
      </w:r>
      <w:r w:rsidR="00BB370D" w:rsidRPr="002E5F86">
        <w:rPr>
          <w:lang w:val="en-AU"/>
        </w:rPr>
        <w:t>ncome Recognition</w:t>
      </w:r>
      <w:bookmarkEnd w:id="2"/>
      <w:r w:rsidR="00BB370D" w:rsidRPr="002E5F86">
        <w:rPr>
          <w:lang w:val="en-AU"/>
        </w:rPr>
        <w:t xml:space="preserve"> </w:t>
      </w:r>
    </w:p>
    <w:p w14:paraId="2BC02518" w14:textId="77777777" w:rsidR="00AB0653" w:rsidRPr="002E5F86" w:rsidRDefault="00AB0653" w:rsidP="00652892">
      <w:pPr>
        <w:spacing w:line="600" w:lineRule="auto"/>
        <w:jc w:val="both"/>
        <w:rPr>
          <w:rFonts w:ascii="Times New Roman" w:hAnsi="Times New Roman" w:cs="Times New Roman"/>
          <w:sz w:val="24"/>
          <w:szCs w:val="24"/>
          <w:lang w:val="en-AU"/>
        </w:rPr>
      </w:pPr>
    </w:p>
    <w:p w14:paraId="77B1B047" w14:textId="34429E7B"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Income acknowledgment is one of the essential bookkeeping approaches for a retail organization. Woolworths' Revenue from deals does exclude deals </w:t>
      </w:r>
      <w:r w:rsidR="00CE16BC">
        <w:rPr>
          <w:rFonts w:ascii="Times New Roman" w:hAnsi="Times New Roman" w:cs="Times New Roman"/>
          <w:sz w:val="24"/>
          <w:szCs w:val="24"/>
          <w:lang w:val="en-AU"/>
        </w:rPr>
        <w:t xml:space="preserve">from concession administrators and </w:t>
      </w:r>
      <w:r w:rsidRPr="002E5F86">
        <w:rPr>
          <w:rFonts w:ascii="Times New Roman" w:hAnsi="Times New Roman" w:cs="Times New Roman"/>
          <w:sz w:val="24"/>
          <w:szCs w:val="24"/>
          <w:lang w:val="en-AU"/>
        </w:rPr>
        <w:t>perceived at the purpose of offer at an after duty base. Woolworths' offer of concession</w:t>
      </w:r>
      <w:r w:rsidR="00432586">
        <w:rPr>
          <w:rFonts w:ascii="Times New Roman" w:hAnsi="Times New Roman" w:cs="Times New Roman"/>
          <w:sz w:val="24"/>
          <w:szCs w:val="24"/>
          <w:lang w:val="en-AU"/>
        </w:rPr>
        <w:t>al</w:t>
      </w:r>
      <w:r w:rsidRPr="002E5F86">
        <w:rPr>
          <w:rFonts w:ascii="Times New Roman" w:hAnsi="Times New Roman" w:cs="Times New Roman"/>
          <w:sz w:val="24"/>
          <w:szCs w:val="24"/>
          <w:lang w:val="en-AU"/>
        </w:rPr>
        <w:t xml:space="preserve"> deals perceived as </w:t>
      </w:r>
      <w:r w:rsidR="00432586">
        <w:rPr>
          <w:rFonts w:ascii="Times New Roman" w:hAnsi="Times New Roman" w:cs="Times New Roman"/>
          <w:sz w:val="24"/>
          <w:szCs w:val="24"/>
          <w:lang w:val="en-AU"/>
        </w:rPr>
        <w:t>revenue earner for the company.</w:t>
      </w:r>
      <w:r w:rsidRPr="002E5F86">
        <w:rPr>
          <w:rFonts w:ascii="Times New Roman" w:hAnsi="Times New Roman" w:cs="Times New Roman"/>
          <w:sz w:val="24"/>
          <w:szCs w:val="24"/>
          <w:lang w:val="en-AU"/>
        </w:rPr>
        <w:t xml:space="preserve"> Income from </w:t>
      </w:r>
      <w:r w:rsidR="00432586">
        <w:rPr>
          <w:rFonts w:ascii="Times New Roman" w:hAnsi="Times New Roman" w:cs="Times New Roman"/>
          <w:sz w:val="24"/>
          <w:szCs w:val="24"/>
          <w:lang w:val="en-AU"/>
        </w:rPr>
        <w:t>sales of goods is recognised when the</w:t>
      </w:r>
      <w:r w:rsidRPr="002E5F86">
        <w:rPr>
          <w:rFonts w:ascii="Times New Roman" w:hAnsi="Times New Roman" w:cs="Times New Roman"/>
          <w:sz w:val="24"/>
          <w:szCs w:val="24"/>
          <w:lang w:val="en-AU"/>
        </w:rPr>
        <w:t xml:space="preserve"> offer of products at the date whereupon the client </w:t>
      </w:r>
      <w:proofErr w:type="spellStart"/>
      <w:r w:rsidRPr="002E5F86">
        <w:rPr>
          <w:rFonts w:ascii="Times New Roman" w:hAnsi="Times New Roman" w:cs="Times New Roman"/>
          <w:sz w:val="24"/>
          <w:szCs w:val="24"/>
          <w:lang w:val="en-AU"/>
        </w:rPr>
        <w:t>fulfills</w:t>
      </w:r>
      <w:proofErr w:type="spellEnd"/>
      <w:r w:rsidRPr="002E5F86">
        <w:rPr>
          <w:rFonts w:ascii="Times New Roman" w:hAnsi="Times New Roman" w:cs="Times New Roman"/>
          <w:sz w:val="24"/>
          <w:szCs w:val="24"/>
          <w:lang w:val="en-AU"/>
        </w:rPr>
        <w:t xml:space="preserve"> all </w:t>
      </w:r>
      <w:proofErr w:type="spellStart"/>
      <w:r w:rsidRPr="002E5F86">
        <w:rPr>
          <w:rFonts w:ascii="Times New Roman" w:hAnsi="Times New Roman" w:cs="Times New Roman"/>
          <w:sz w:val="24"/>
          <w:szCs w:val="24"/>
          <w:lang w:val="en-AU"/>
        </w:rPr>
        <w:t>installment</w:t>
      </w:r>
      <w:proofErr w:type="spellEnd"/>
      <w:r w:rsidRPr="002E5F86">
        <w:rPr>
          <w:rFonts w:ascii="Times New Roman" w:hAnsi="Times New Roman" w:cs="Times New Roman"/>
          <w:sz w:val="24"/>
          <w:szCs w:val="24"/>
          <w:lang w:val="en-AU"/>
        </w:rPr>
        <w:t xml:space="preserve"> commitments and takes ownership of the stock, which is conform</w:t>
      </w:r>
      <w:r w:rsidR="009E17BF">
        <w:rPr>
          <w:rFonts w:ascii="Times New Roman" w:hAnsi="Times New Roman" w:cs="Times New Roman"/>
          <w:sz w:val="24"/>
          <w:szCs w:val="24"/>
          <w:lang w:val="en-AU"/>
        </w:rPr>
        <w:t>ing to conditions in AASB 118 – Revenue Recognition</w:t>
      </w:r>
      <w:r w:rsidRPr="002E5F86">
        <w:rPr>
          <w:rFonts w:ascii="Times New Roman" w:hAnsi="Times New Roman" w:cs="Times New Roman"/>
          <w:sz w:val="24"/>
          <w:szCs w:val="24"/>
          <w:lang w:val="en-AU"/>
        </w:rPr>
        <w:t>. Interest salary is perceived utilizing the powerful intrigue s</w:t>
      </w:r>
      <w:r w:rsidR="00A834CE">
        <w:rPr>
          <w:rFonts w:ascii="Times New Roman" w:hAnsi="Times New Roman" w:cs="Times New Roman"/>
          <w:sz w:val="24"/>
          <w:szCs w:val="24"/>
          <w:lang w:val="en-AU"/>
        </w:rPr>
        <w:t>ystem, as sets out in AASB 139</w:t>
      </w:r>
      <w:r w:rsidR="00D262EF">
        <w:rPr>
          <w:rFonts w:ascii="Times New Roman" w:hAnsi="Times New Roman" w:cs="Times New Roman"/>
          <w:sz w:val="24"/>
          <w:szCs w:val="24"/>
          <w:lang w:val="en-AU"/>
        </w:rPr>
        <w:t>. Profits are recognised</w:t>
      </w:r>
      <w:r w:rsidRPr="002E5F86">
        <w:rPr>
          <w:rFonts w:ascii="Times New Roman" w:hAnsi="Times New Roman" w:cs="Times New Roman"/>
          <w:sz w:val="24"/>
          <w:szCs w:val="24"/>
          <w:lang w:val="en-AU"/>
        </w:rPr>
        <w:t xml:space="preserve"> as income when the privilege to get </w:t>
      </w:r>
      <w:proofErr w:type="spellStart"/>
      <w:r w:rsidRPr="002E5F86">
        <w:rPr>
          <w:rFonts w:ascii="Times New Roman" w:hAnsi="Times New Roman" w:cs="Times New Roman"/>
          <w:sz w:val="24"/>
          <w:szCs w:val="24"/>
          <w:lang w:val="en-AU"/>
        </w:rPr>
        <w:t>installment</w:t>
      </w:r>
      <w:proofErr w:type="spellEnd"/>
      <w:r w:rsidRPr="002E5F86">
        <w:rPr>
          <w:rFonts w:ascii="Times New Roman" w:hAnsi="Times New Roman" w:cs="Times New Roman"/>
          <w:sz w:val="24"/>
          <w:szCs w:val="24"/>
          <w:lang w:val="en-AU"/>
        </w:rPr>
        <w:t xml:space="preserve"> is</w:t>
      </w:r>
      <w:r w:rsidR="00D262EF">
        <w:rPr>
          <w:rFonts w:ascii="Times New Roman" w:hAnsi="Times New Roman" w:cs="Times New Roman"/>
          <w:sz w:val="24"/>
          <w:szCs w:val="24"/>
          <w:lang w:val="en-AU"/>
        </w:rPr>
        <w:t xml:space="preserve"> built up, as per AASB 118.</w:t>
      </w:r>
      <w:r w:rsidRPr="002E5F86">
        <w:rPr>
          <w:rFonts w:ascii="Times New Roman" w:hAnsi="Times New Roman" w:cs="Times New Roman"/>
          <w:sz w:val="24"/>
          <w:szCs w:val="24"/>
          <w:lang w:val="en-AU"/>
        </w:rPr>
        <w:t xml:space="preserve"> Woolworths offers Customer unwaveringness program wh</w:t>
      </w:r>
      <w:r w:rsidR="00D262EF">
        <w:rPr>
          <w:rFonts w:ascii="Times New Roman" w:hAnsi="Times New Roman" w:cs="Times New Roman"/>
          <w:sz w:val="24"/>
          <w:szCs w:val="24"/>
          <w:lang w:val="en-AU"/>
        </w:rPr>
        <w:t>ere clients gather points</w:t>
      </w:r>
      <w:r w:rsidRPr="002E5F86">
        <w:rPr>
          <w:rFonts w:ascii="Times New Roman" w:hAnsi="Times New Roman" w:cs="Times New Roman"/>
          <w:sz w:val="24"/>
          <w:szCs w:val="24"/>
          <w:lang w:val="en-AU"/>
        </w:rPr>
        <w:t xml:space="preserve"> to spend on future </w:t>
      </w:r>
      <w:r w:rsidR="00D262EF">
        <w:rPr>
          <w:rFonts w:ascii="Times New Roman" w:hAnsi="Times New Roman" w:cs="Times New Roman"/>
          <w:sz w:val="24"/>
          <w:szCs w:val="24"/>
          <w:lang w:val="en-AU"/>
        </w:rPr>
        <w:t>deals. Income from points are perceived when the points</w:t>
      </w:r>
      <w:r w:rsidRPr="002E5F86">
        <w:rPr>
          <w:rFonts w:ascii="Times New Roman" w:hAnsi="Times New Roman" w:cs="Times New Roman"/>
          <w:sz w:val="24"/>
          <w:szCs w:val="24"/>
          <w:lang w:val="en-AU"/>
        </w:rPr>
        <w:t xml:space="preserve"> are reclaimed. </w:t>
      </w:r>
    </w:p>
    <w:p w14:paraId="6C7D25D4" w14:textId="77777777" w:rsidR="00BB370D" w:rsidRPr="002E5F86" w:rsidRDefault="00BB370D" w:rsidP="00AB0653">
      <w:pPr>
        <w:pStyle w:val="Heading3"/>
        <w:rPr>
          <w:lang w:val="en-AU"/>
        </w:rPr>
      </w:pPr>
      <w:bookmarkStart w:id="3" w:name="_Toc429322204"/>
      <w:r w:rsidRPr="002E5F86">
        <w:rPr>
          <w:lang w:val="en-AU"/>
        </w:rPr>
        <w:t>Inventories</w:t>
      </w:r>
      <w:bookmarkEnd w:id="3"/>
      <w:r w:rsidRPr="002E5F86">
        <w:rPr>
          <w:lang w:val="en-AU"/>
        </w:rPr>
        <w:t xml:space="preserve"> </w:t>
      </w:r>
    </w:p>
    <w:p w14:paraId="675B8EB4" w14:textId="77777777" w:rsidR="00AB0653" w:rsidRPr="002E5F86" w:rsidRDefault="00AB0653" w:rsidP="00AB0653">
      <w:pPr>
        <w:rPr>
          <w:sz w:val="24"/>
          <w:szCs w:val="24"/>
          <w:lang w:val="en-AU"/>
        </w:rPr>
      </w:pPr>
    </w:p>
    <w:p w14:paraId="4CCDD83A" w14:textId="346E370B" w:rsidR="00BB370D" w:rsidRPr="002E5F86" w:rsidRDefault="009E1C71" w:rsidP="00652892">
      <w:pPr>
        <w:spacing w:line="600" w:lineRule="auto"/>
        <w:jc w:val="both"/>
        <w:rPr>
          <w:rFonts w:ascii="Times New Roman" w:hAnsi="Times New Roman" w:cs="Times New Roman"/>
          <w:sz w:val="24"/>
          <w:szCs w:val="24"/>
          <w:lang w:val="en-AU"/>
        </w:rPr>
      </w:pPr>
      <w:r>
        <w:rPr>
          <w:rFonts w:ascii="Times New Roman" w:hAnsi="Times New Roman" w:cs="Times New Roman"/>
          <w:sz w:val="24"/>
          <w:szCs w:val="24"/>
          <w:lang w:val="en-AU"/>
        </w:rPr>
        <w:t>In agreeability with AASB 102</w:t>
      </w:r>
      <w:r w:rsidR="00BB370D" w:rsidRPr="002E5F86">
        <w:rPr>
          <w:rFonts w:ascii="Times New Roman" w:hAnsi="Times New Roman" w:cs="Times New Roman"/>
          <w:sz w:val="24"/>
          <w:szCs w:val="24"/>
          <w:lang w:val="en-AU"/>
        </w:rPr>
        <w:t xml:space="preserve">, inventories in Woolworths are measured at the lower </w:t>
      </w:r>
      <w:r>
        <w:rPr>
          <w:rFonts w:ascii="Times New Roman" w:hAnsi="Times New Roman" w:cs="Times New Roman"/>
          <w:sz w:val="24"/>
          <w:szCs w:val="24"/>
          <w:lang w:val="en-AU"/>
        </w:rPr>
        <w:t xml:space="preserve">cost and net </w:t>
      </w:r>
      <w:proofErr w:type="spellStart"/>
      <w:r>
        <w:rPr>
          <w:rFonts w:ascii="Times New Roman" w:hAnsi="Times New Roman" w:cs="Times New Roman"/>
          <w:sz w:val="24"/>
          <w:szCs w:val="24"/>
          <w:lang w:val="en-AU"/>
        </w:rPr>
        <w:t>realiseable</w:t>
      </w:r>
      <w:proofErr w:type="spellEnd"/>
      <w:r>
        <w:rPr>
          <w:rFonts w:ascii="Times New Roman" w:hAnsi="Times New Roman" w:cs="Times New Roman"/>
          <w:sz w:val="24"/>
          <w:szCs w:val="24"/>
          <w:lang w:val="en-AU"/>
        </w:rPr>
        <w:t xml:space="preserve"> value</w:t>
      </w:r>
      <w:r w:rsidR="00BB370D" w:rsidRPr="002E5F86">
        <w:rPr>
          <w:rFonts w:ascii="Times New Roman" w:hAnsi="Times New Roman" w:cs="Times New Roman"/>
          <w:sz w:val="24"/>
          <w:szCs w:val="24"/>
          <w:lang w:val="en-AU"/>
        </w:rPr>
        <w:t xml:space="preserve">. Expenses are distributed to individual </w:t>
      </w:r>
      <w:r>
        <w:rPr>
          <w:rFonts w:ascii="Times New Roman" w:hAnsi="Times New Roman" w:cs="Times New Roman"/>
          <w:sz w:val="24"/>
          <w:szCs w:val="24"/>
          <w:lang w:val="en-AU"/>
        </w:rPr>
        <w:t xml:space="preserve">inventory </w:t>
      </w:r>
      <w:r w:rsidR="00BB370D" w:rsidRPr="002E5F86">
        <w:rPr>
          <w:rFonts w:ascii="Times New Roman" w:hAnsi="Times New Roman" w:cs="Times New Roman"/>
          <w:sz w:val="24"/>
          <w:szCs w:val="24"/>
          <w:lang w:val="en-AU"/>
        </w:rPr>
        <w:t>utilizing weighted normal expense strategy, picked by the organizat</w:t>
      </w:r>
      <w:r w:rsidR="00FB0D7B">
        <w:rPr>
          <w:rFonts w:ascii="Times New Roman" w:hAnsi="Times New Roman" w:cs="Times New Roman"/>
          <w:sz w:val="24"/>
          <w:szCs w:val="24"/>
          <w:lang w:val="en-AU"/>
        </w:rPr>
        <w:t>ion and it agrees to AASB 102</w:t>
      </w:r>
      <w:r w:rsidR="00BB370D" w:rsidRPr="002E5F86">
        <w:rPr>
          <w:rFonts w:ascii="Times New Roman" w:hAnsi="Times New Roman" w:cs="Times New Roman"/>
          <w:sz w:val="24"/>
          <w:szCs w:val="24"/>
          <w:lang w:val="en-AU"/>
        </w:rPr>
        <w:t xml:space="preserve">. Retail inventories are imperative as it decides the expense of merchandise sold of the organization. </w:t>
      </w:r>
    </w:p>
    <w:p w14:paraId="0FED1A37" w14:textId="77777777" w:rsidR="00BB370D" w:rsidRPr="002E5F86" w:rsidRDefault="00BB370D" w:rsidP="00652892">
      <w:pPr>
        <w:spacing w:line="600" w:lineRule="auto"/>
        <w:jc w:val="both"/>
        <w:rPr>
          <w:rFonts w:ascii="Times New Roman" w:hAnsi="Times New Roman" w:cs="Times New Roman"/>
          <w:sz w:val="24"/>
          <w:szCs w:val="24"/>
          <w:lang w:val="en-AU"/>
        </w:rPr>
      </w:pPr>
    </w:p>
    <w:p w14:paraId="16136E19" w14:textId="77777777" w:rsidR="00BB370D" w:rsidRPr="002E5F86" w:rsidRDefault="00BB370D" w:rsidP="00AB0653">
      <w:pPr>
        <w:pStyle w:val="Heading3"/>
        <w:rPr>
          <w:lang w:val="en-AU"/>
        </w:rPr>
      </w:pPr>
      <w:bookmarkStart w:id="4" w:name="_Toc429322205"/>
      <w:r w:rsidRPr="002E5F86">
        <w:rPr>
          <w:lang w:val="en-AU"/>
        </w:rPr>
        <w:t>Devaluation and Amortization</w:t>
      </w:r>
      <w:bookmarkEnd w:id="4"/>
      <w:r w:rsidRPr="002E5F86">
        <w:rPr>
          <w:lang w:val="en-AU"/>
        </w:rPr>
        <w:t xml:space="preserve"> </w:t>
      </w:r>
    </w:p>
    <w:p w14:paraId="0412C7F9" w14:textId="77777777" w:rsidR="00AB0653" w:rsidRPr="002E5F86" w:rsidRDefault="00AB0653" w:rsidP="00AB0653">
      <w:pPr>
        <w:rPr>
          <w:sz w:val="24"/>
          <w:szCs w:val="24"/>
          <w:lang w:val="en-AU"/>
        </w:rPr>
      </w:pPr>
    </w:p>
    <w:p w14:paraId="32DD3BFB" w14:textId="420F1BD5" w:rsidR="00EC2B12" w:rsidRPr="002E5F86" w:rsidRDefault="00FB0D7B" w:rsidP="00652892">
      <w:pPr>
        <w:spacing w:line="600" w:lineRule="auto"/>
        <w:jc w:val="both"/>
        <w:rPr>
          <w:rFonts w:ascii="Times New Roman" w:hAnsi="Times New Roman" w:cs="Times New Roman"/>
          <w:sz w:val="24"/>
          <w:szCs w:val="24"/>
          <w:lang w:val="en-AU"/>
        </w:rPr>
      </w:pPr>
      <w:r>
        <w:rPr>
          <w:rFonts w:ascii="Times New Roman" w:hAnsi="Times New Roman" w:cs="Times New Roman"/>
          <w:sz w:val="24"/>
          <w:szCs w:val="24"/>
          <w:lang w:val="en-AU"/>
        </w:rPr>
        <w:t>Intangible</w:t>
      </w:r>
      <w:r w:rsidR="00BB370D" w:rsidRPr="002E5F86">
        <w:rPr>
          <w:rFonts w:ascii="Times New Roman" w:hAnsi="Times New Roman" w:cs="Times New Roman"/>
          <w:sz w:val="24"/>
          <w:szCs w:val="24"/>
          <w:lang w:val="en-AU"/>
        </w:rPr>
        <w:t xml:space="preserve"> resources of the organization comprise of Goodwill, Brand names and Trademarks, Software and Lease right. Goodwill and brands that don't have predictable brand development dates are evaluated as having uncertain life and are not amortized and are tried every year for disability for</w:t>
      </w:r>
      <w:r w:rsidR="00042261">
        <w:rPr>
          <w:rFonts w:ascii="Times New Roman" w:hAnsi="Times New Roman" w:cs="Times New Roman"/>
          <w:sz w:val="24"/>
          <w:szCs w:val="24"/>
          <w:lang w:val="en-AU"/>
        </w:rPr>
        <w:t xml:space="preserve"> the years somewhere around 2013</w:t>
      </w:r>
      <w:r w:rsidR="00BB370D" w:rsidRPr="002E5F86">
        <w:rPr>
          <w:rFonts w:ascii="Times New Roman" w:hAnsi="Times New Roman" w:cs="Times New Roman"/>
          <w:sz w:val="24"/>
          <w:szCs w:val="24"/>
          <w:lang w:val="en-AU"/>
        </w:rPr>
        <w:t xml:space="preserve"> and 20</w:t>
      </w:r>
      <w:r w:rsidR="00A81CD2">
        <w:rPr>
          <w:rFonts w:ascii="Times New Roman" w:hAnsi="Times New Roman" w:cs="Times New Roman"/>
          <w:sz w:val="24"/>
          <w:szCs w:val="24"/>
          <w:lang w:val="en-AU"/>
        </w:rPr>
        <w:t>14</w:t>
      </w:r>
      <w:sdt>
        <w:sdtPr>
          <w:rPr>
            <w:rFonts w:ascii="Times New Roman" w:hAnsi="Times New Roman" w:cs="Times New Roman"/>
            <w:sz w:val="24"/>
            <w:szCs w:val="24"/>
            <w:lang w:val="en-AU"/>
          </w:rPr>
          <w:id w:val="-1437980120"/>
          <w:citation/>
        </w:sdtPr>
        <w:sdtEndPr/>
        <w:sdtContent>
          <w:r w:rsidR="00AB5C6D">
            <w:rPr>
              <w:rFonts w:ascii="Times New Roman" w:hAnsi="Times New Roman" w:cs="Times New Roman"/>
              <w:sz w:val="24"/>
              <w:szCs w:val="24"/>
              <w:lang w:val="en-AU"/>
            </w:rPr>
            <w:fldChar w:fldCharType="begin"/>
          </w:r>
          <w:r w:rsidR="00AB5C6D">
            <w:rPr>
              <w:rFonts w:ascii="Times New Roman" w:hAnsi="Times New Roman" w:cs="Times New Roman"/>
              <w:sz w:val="24"/>
              <w:szCs w:val="24"/>
              <w:lang w:val="en-US"/>
            </w:rPr>
            <w:instrText xml:space="preserve"> CITATION And07 \l 1033 </w:instrText>
          </w:r>
          <w:r w:rsidR="00AB5C6D">
            <w:rPr>
              <w:rFonts w:ascii="Times New Roman" w:hAnsi="Times New Roman" w:cs="Times New Roman"/>
              <w:sz w:val="24"/>
              <w:szCs w:val="24"/>
              <w:lang w:val="en-AU"/>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(Andrew, 2009)</w:t>
          </w:r>
          <w:r w:rsidR="00AB5C6D">
            <w:rPr>
              <w:rFonts w:ascii="Times New Roman" w:hAnsi="Times New Roman" w:cs="Times New Roman"/>
              <w:sz w:val="24"/>
              <w:szCs w:val="24"/>
              <w:lang w:val="en-AU"/>
            </w:rPr>
            <w:fldChar w:fldCharType="end"/>
          </w:r>
        </w:sdtContent>
      </w:sdt>
      <w:r w:rsidR="00A81CD2">
        <w:rPr>
          <w:rFonts w:ascii="Times New Roman" w:hAnsi="Times New Roman" w:cs="Times New Roman"/>
          <w:sz w:val="24"/>
          <w:szCs w:val="24"/>
          <w:lang w:val="en-AU"/>
        </w:rPr>
        <w:t xml:space="preserve">. As per AASB 136, </w:t>
      </w:r>
      <w:proofErr w:type="spellStart"/>
      <w:proofErr w:type="gramStart"/>
      <w:r w:rsidR="00A81CD2">
        <w:rPr>
          <w:rFonts w:ascii="Times New Roman" w:hAnsi="Times New Roman" w:cs="Times New Roman"/>
          <w:sz w:val="24"/>
          <w:szCs w:val="24"/>
          <w:lang w:val="en-AU"/>
        </w:rPr>
        <w:t>a</w:t>
      </w:r>
      <w:proofErr w:type="spellEnd"/>
      <w:proofErr w:type="gramEnd"/>
      <w:r w:rsidR="00A81CD2">
        <w:rPr>
          <w:rFonts w:ascii="Times New Roman" w:hAnsi="Times New Roman" w:cs="Times New Roman"/>
          <w:sz w:val="24"/>
          <w:szCs w:val="24"/>
          <w:lang w:val="en-AU"/>
        </w:rPr>
        <w:t xml:space="preserve"> entity</w:t>
      </w:r>
      <w:r w:rsidR="00BB370D" w:rsidRPr="002E5F86">
        <w:rPr>
          <w:rFonts w:ascii="Times New Roman" w:hAnsi="Times New Roman" w:cs="Times New Roman"/>
          <w:sz w:val="24"/>
          <w:szCs w:val="24"/>
          <w:lang w:val="en-AU"/>
        </w:rPr>
        <w:t xml:space="preserve"> is </w:t>
      </w:r>
      <w:r w:rsidR="00A81CD2">
        <w:rPr>
          <w:rFonts w:ascii="Times New Roman" w:hAnsi="Times New Roman" w:cs="Times New Roman"/>
          <w:sz w:val="24"/>
          <w:szCs w:val="24"/>
          <w:lang w:val="en-AU"/>
        </w:rPr>
        <w:t>obliged to test an intangible</w:t>
      </w:r>
      <w:r w:rsidR="00BB370D" w:rsidRPr="002E5F86">
        <w:rPr>
          <w:rFonts w:ascii="Times New Roman" w:hAnsi="Times New Roman" w:cs="Times New Roman"/>
          <w:sz w:val="24"/>
          <w:szCs w:val="24"/>
          <w:lang w:val="en-AU"/>
        </w:rPr>
        <w:t xml:space="preserve"> resource with inconclusive valuable life for hindrance by</w:t>
      </w:r>
      <w:r w:rsidR="00A81CD2">
        <w:rPr>
          <w:rFonts w:ascii="Times New Roman" w:hAnsi="Times New Roman" w:cs="Times New Roman"/>
          <w:sz w:val="24"/>
          <w:szCs w:val="24"/>
          <w:lang w:val="en-AU"/>
        </w:rPr>
        <w:t xml:space="preserve"> contrasting its recoverable value and its conveying value</w:t>
      </w:r>
      <w:r w:rsidR="00BB370D" w:rsidRPr="002E5F86">
        <w:rPr>
          <w:rFonts w:ascii="Times New Roman" w:hAnsi="Times New Roman" w:cs="Times New Roman"/>
          <w:sz w:val="24"/>
          <w:szCs w:val="24"/>
          <w:lang w:val="en-AU"/>
        </w:rPr>
        <w:t xml:space="preserve"> every year and when there is an evidence of weakness. The Group surveys toward the end of every reporting period for money related resource impedance. These estimations oblige the utilization of presumptions. The evaluations and suspicions can have a critical danger of bringing on a material conformity to the conveying measures of impa</w:t>
      </w:r>
      <w:r w:rsidR="003852F8">
        <w:rPr>
          <w:rFonts w:ascii="Times New Roman" w:hAnsi="Times New Roman" w:cs="Times New Roman"/>
          <w:sz w:val="24"/>
          <w:szCs w:val="24"/>
          <w:lang w:val="en-AU"/>
        </w:rPr>
        <w:t xml:space="preserve">lpable resources. Electronic </w:t>
      </w:r>
      <w:proofErr w:type="spellStart"/>
      <w:r w:rsidR="003852F8">
        <w:rPr>
          <w:rFonts w:ascii="Times New Roman" w:hAnsi="Times New Roman" w:cs="Times New Roman"/>
          <w:sz w:val="24"/>
          <w:szCs w:val="24"/>
          <w:lang w:val="en-AU"/>
        </w:rPr>
        <w:t>equipments</w:t>
      </w:r>
      <w:proofErr w:type="spellEnd"/>
      <w:r w:rsidR="003852F8">
        <w:rPr>
          <w:rFonts w:ascii="Times New Roman" w:hAnsi="Times New Roman" w:cs="Times New Roman"/>
          <w:sz w:val="24"/>
          <w:szCs w:val="24"/>
          <w:lang w:val="en-AU"/>
        </w:rPr>
        <w:t xml:space="preserve"> are</w:t>
      </w:r>
      <w:r w:rsidR="00BB370D" w:rsidRPr="002E5F86">
        <w:rPr>
          <w:rFonts w:ascii="Times New Roman" w:hAnsi="Times New Roman" w:cs="Times New Roman"/>
          <w:sz w:val="24"/>
          <w:szCs w:val="24"/>
          <w:lang w:val="en-AU"/>
        </w:rPr>
        <w:t xml:space="preserve"> </w:t>
      </w:r>
      <w:r w:rsidR="003852F8">
        <w:rPr>
          <w:rFonts w:ascii="Times New Roman" w:hAnsi="Times New Roman" w:cs="Times New Roman"/>
          <w:sz w:val="24"/>
          <w:szCs w:val="24"/>
          <w:lang w:val="en-AU"/>
        </w:rPr>
        <w:t>amortized more than 5 to 12</w:t>
      </w:r>
      <w:r w:rsidR="00BB370D" w:rsidRPr="002E5F86">
        <w:rPr>
          <w:rFonts w:ascii="Times New Roman" w:hAnsi="Times New Roman" w:cs="Times New Roman"/>
          <w:sz w:val="24"/>
          <w:szCs w:val="24"/>
          <w:lang w:val="en-AU"/>
        </w:rPr>
        <w:t xml:space="preserve"> years, while lease r</w:t>
      </w:r>
      <w:r w:rsidR="003852F8">
        <w:rPr>
          <w:rFonts w:ascii="Times New Roman" w:hAnsi="Times New Roman" w:cs="Times New Roman"/>
          <w:sz w:val="24"/>
          <w:szCs w:val="24"/>
          <w:lang w:val="en-AU"/>
        </w:rPr>
        <w:t xml:space="preserve">ights are amortized more than </w:t>
      </w:r>
      <w:bookmarkStart w:id="5" w:name="_GoBack"/>
      <w:bookmarkEnd w:id="5"/>
      <w:r w:rsidR="003852F8">
        <w:rPr>
          <w:rFonts w:ascii="Times New Roman" w:hAnsi="Times New Roman" w:cs="Times New Roman"/>
          <w:sz w:val="24"/>
          <w:szCs w:val="24"/>
          <w:lang w:val="en-AU"/>
        </w:rPr>
        <w:t>11-18</w:t>
      </w:r>
      <w:r w:rsidR="00BB370D" w:rsidRPr="002E5F86">
        <w:rPr>
          <w:rFonts w:ascii="Times New Roman" w:hAnsi="Times New Roman" w:cs="Times New Roman"/>
          <w:sz w:val="24"/>
          <w:szCs w:val="24"/>
          <w:lang w:val="en-AU"/>
        </w:rPr>
        <w:t xml:space="preserve"> years for the last five monetary years. Unequivoca</w:t>
      </w:r>
      <w:r w:rsidR="003852F8">
        <w:rPr>
          <w:rFonts w:ascii="Times New Roman" w:hAnsi="Times New Roman" w:cs="Times New Roman"/>
          <w:sz w:val="24"/>
          <w:szCs w:val="24"/>
          <w:lang w:val="en-AU"/>
        </w:rPr>
        <w:t>l valuable existences of intangible</w:t>
      </w:r>
      <w:r w:rsidR="00BB370D" w:rsidRPr="002E5F86">
        <w:rPr>
          <w:rFonts w:ascii="Times New Roman" w:hAnsi="Times New Roman" w:cs="Times New Roman"/>
          <w:sz w:val="24"/>
          <w:szCs w:val="24"/>
          <w:lang w:val="en-AU"/>
        </w:rPr>
        <w:t xml:space="preserve"> resources</w:t>
      </w:r>
      <w:r w:rsidR="003852F8">
        <w:rPr>
          <w:rFonts w:ascii="Times New Roman" w:hAnsi="Times New Roman" w:cs="Times New Roman"/>
          <w:sz w:val="24"/>
          <w:szCs w:val="24"/>
          <w:lang w:val="en-AU"/>
        </w:rPr>
        <w:t xml:space="preserve"> are resolved as per AASB 138</w:t>
      </w:r>
      <w:r w:rsidR="00BB370D" w:rsidRPr="002E5F86">
        <w:rPr>
          <w:rFonts w:ascii="Times New Roman" w:hAnsi="Times New Roman" w:cs="Times New Roman"/>
          <w:sz w:val="24"/>
          <w:szCs w:val="24"/>
          <w:lang w:val="en-AU"/>
        </w:rPr>
        <w:t>. The fundamental resource, Land is not deteriorated</w:t>
      </w:r>
      <w:r w:rsidR="00F360E9">
        <w:rPr>
          <w:rFonts w:ascii="Times New Roman" w:hAnsi="Times New Roman" w:cs="Times New Roman"/>
          <w:sz w:val="24"/>
          <w:szCs w:val="24"/>
          <w:lang w:val="en-AU"/>
        </w:rPr>
        <w:t xml:space="preserve"> thus there is no depreciation or amortization for land</w:t>
      </w:r>
      <w:sdt>
        <w:sdtPr>
          <w:rPr>
            <w:rFonts w:ascii="Times New Roman" w:hAnsi="Times New Roman" w:cs="Times New Roman"/>
            <w:sz w:val="24"/>
            <w:szCs w:val="24"/>
            <w:lang w:val="en-AU"/>
          </w:rPr>
          <w:id w:val="281162709"/>
          <w:citation/>
        </w:sdtPr>
        <w:sdtEndPr/>
        <w:sdtContent>
          <w:r w:rsidR="00AB5C6D">
            <w:rPr>
              <w:rFonts w:ascii="Times New Roman" w:hAnsi="Times New Roman" w:cs="Times New Roman"/>
              <w:sz w:val="24"/>
              <w:szCs w:val="24"/>
              <w:lang w:val="en-AU"/>
            </w:rPr>
            <w:fldChar w:fldCharType="begin"/>
          </w:r>
          <w:r w:rsidR="00AB5C6D">
            <w:rPr>
              <w:rFonts w:ascii="Times New Roman" w:hAnsi="Times New Roman" w:cs="Times New Roman"/>
              <w:sz w:val="24"/>
              <w:szCs w:val="24"/>
              <w:lang w:val="en-US"/>
            </w:rPr>
            <w:instrText xml:space="preserve"> CITATION Arn13 \l 1033 </w:instrText>
          </w:r>
          <w:r w:rsidR="00AB5C6D">
            <w:rPr>
              <w:rFonts w:ascii="Times New Roman" w:hAnsi="Times New Roman" w:cs="Times New Roman"/>
              <w:sz w:val="24"/>
              <w:szCs w:val="24"/>
              <w:lang w:val="en-AU"/>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(Arnold, 2013)</w:t>
          </w:r>
          <w:r w:rsidR="00AB5C6D">
            <w:rPr>
              <w:rFonts w:ascii="Times New Roman" w:hAnsi="Times New Roman" w:cs="Times New Roman"/>
              <w:sz w:val="24"/>
              <w:szCs w:val="24"/>
              <w:lang w:val="en-AU"/>
            </w:rPr>
            <w:fldChar w:fldCharType="end"/>
          </w:r>
        </w:sdtContent>
      </w:sdt>
      <w:r w:rsidR="00BB370D" w:rsidRPr="002E5F86">
        <w:rPr>
          <w:rFonts w:ascii="Times New Roman" w:hAnsi="Times New Roman" w:cs="Times New Roman"/>
          <w:sz w:val="24"/>
          <w:szCs w:val="24"/>
          <w:lang w:val="en-AU"/>
        </w:rPr>
        <w:t xml:space="preserve">. Devaluation on structures, apparatuses and fittings, and plant and hardware is computed utilizing the straight-line </w:t>
      </w:r>
      <w:r w:rsidR="00F360E9">
        <w:rPr>
          <w:rFonts w:ascii="Times New Roman" w:hAnsi="Times New Roman" w:cs="Times New Roman"/>
          <w:sz w:val="24"/>
          <w:szCs w:val="24"/>
          <w:lang w:val="en-AU"/>
        </w:rPr>
        <w:t xml:space="preserve">method </w:t>
      </w:r>
      <w:r w:rsidR="00BB370D" w:rsidRPr="002E5F86">
        <w:rPr>
          <w:rFonts w:ascii="Times New Roman" w:hAnsi="Times New Roman" w:cs="Times New Roman"/>
          <w:sz w:val="24"/>
          <w:szCs w:val="24"/>
          <w:lang w:val="en-AU"/>
        </w:rPr>
        <w:t>technique to allot thei</w:t>
      </w:r>
      <w:r w:rsidR="00F360E9">
        <w:rPr>
          <w:rFonts w:ascii="Times New Roman" w:hAnsi="Times New Roman" w:cs="Times New Roman"/>
          <w:sz w:val="24"/>
          <w:szCs w:val="24"/>
          <w:lang w:val="en-AU"/>
        </w:rPr>
        <w:t>r expense of remaining value, over their remaining useful</w:t>
      </w:r>
      <w:r w:rsidR="00BB370D" w:rsidRPr="002E5F86">
        <w:rPr>
          <w:rFonts w:ascii="Times New Roman" w:hAnsi="Times New Roman" w:cs="Times New Roman"/>
          <w:sz w:val="24"/>
          <w:szCs w:val="24"/>
          <w:lang w:val="en-AU"/>
        </w:rPr>
        <w:t xml:space="preserve"> lives, </w:t>
      </w:r>
      <w:r w:rsidR="00F360E9">
        <w:rPr>
          <w:rFonts w:ascii="Times New Roman" w:hAnsi="Times New Roman" w:cs="Times New Roman"/>
          <w:sz w:val="24"/>
          <w:szCs w:val="24"/>
          <w:lang w:val="en-AU"/>
        </w:rPr>
        <w:t>which is in line with para 62 of AASB 116</w:t>
      </w:r>
      <w:r w:rsidR="00BB370D" w:rsidRPr="002E5F86">
        <w:rPr>
          <w:rFonts w:ascii="Times New Roman" w:hAnsi="Times New Roman" w:cs="Times New Roman"/>
          <w:sz w:val="24"/>
          <w:szCs w:val="24"/>
          <w:lang w:val="en-AU"/>
        </w:rPr>
        <w:t>.</w:t>
      </w:r>
    </w:p>
    <w:p w14:paraId="3785F05E" w14:textId="77777777" w:rsidR="00F6774E" w:rsidRPr="002E5F86" w:rsidRDefault="00713F63" w:rsidP="00652892">
      <w:pPr>
        <w:pStyle w:val="Heading2"/>
        <w:spacing w:line="600" w:lineRule="auto"/>
        <w:jc w:val="both"/>
        <w:rPr>
          <w:rFonts w:ascii="Times New Roman" w:hAnsi="Times New Roman" w:cs="Times New Roman"/>
          <w:sz w:val="24"/>
          <w:szCs w:val="24"/>
          <w:lang w:val="en-AU"/>
        </w:rPr>
      </w:pPr>
      <w:bookmarkStart w:id="6" w:name="_Toc429322206"/>
      <w:r w:rsidRPr="002E5F86">
        <w:rPr>
          <w:rFonts w:ascii="Times New Roman" w:hAnsi="Times New Roman" w:cs="Times New Roman"/>
          <w:sz w:val="24"/>
          <w:szCs w:val="24"/>
          <w:lang w:val="en-AU"/>
        </w:rPr>
        <w:lastRenderedPageBreak/>
        <w:t>2. Accounting flexibility</w:t>
      </w:r>
      <w:bookmarkEnd w:id="6"/>
    </w:p>
    <w:p w14:paraId="17C1CF63" w14:textId="3FE53C2E" w:rsidR="00BB370D" w:rsidRPr="002E5F86" w:rsidRDefault="00304099" w:rsidP="00652892">
      <w:pPr>
        <w:spacing w:line="600" w:lineRule="auto"/>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Thogh</w:t>
      </w:r>
      <w:proofErr w:type="spellEnd"/>
      <w:r>
        <w:rPr>
          <w:rFonts w:ascii="Times New Roman" w:hAnsi="Times New Roman" w:cs="Times New Roman"/>
          <w:sz w:val="24"/>
          <w:szCs w:val="24"/>
          <w:lang w:val="en-AU"/>
        </w:rPr>
        <w:t xml:space="preserve"> the company has followed the </w:t>
      </w:r>
      <w:proofErr w:type="spellStart"/>
      <w:r>
        <w:rPr>
          <w:rFonts w:ascii="Times New Roman" w:hAnsi="Times New Roman" w:cs="Times New Roman"/>
          <w:sz w:val="24"/>
          <w:szCs w:val="24"/>
          <w:lang w:val="en-AU"/>
        </w:rPr>
        <w:t>accouting</w:t>
      </w:r>
      <w:proofErr w:type="spellEnd"/>
      <w:r>
        <w:rPr>
          <w:rFonts w:ascii="Times New Roman" w:hAnsi="Times New Roman" w:cs="Times New Roman"/>
          <w:sz w:val="24"/>
          <w:szCs w:val="24"/>
          <w:lang w:val="en-AU"/>
        </w:rPr>
        <w:t xml:space="preserve"> policies which are in line with accounting standards, b</w:t>
      </w:r>
      <w:r w:rsidR="00BB370D" w:rsidRPr="002E5F86">
        <w:rPr>
          <w:rFonts w:ascii="Times New Roman" w:hAnsi="Times New Roman" w:cs="Times New Roman"/>
          <w:sz w:val="24"/>
          <w:szCs w:val="24"/>
          <w:lang w:val="en-AU"/>
        </w:rPr>
        <w:t>ookkeeping strategy towards income acknowledgmen</w:t>
      </w:r>
      <w:r w:rsidR="006E3962">
        <w:rPr>
          <w:rFonts w:ascii="Times New Roman" w:hAnsi="Times New Roman" w:cs="Times New Roman"/>
          <w:sz w:val="24"/>
          <w:szCs w:val="24"/>
          <w:lang w:val="en-AU"/>
        </w:rPr>
        <w:t xml:space="preserve">t is not exceptionally </w:t>
      </w:r>
      <w:proofErr w:type="spellStart"/>
      <w:r w:rsidR="006E3962">
        <w:rPr>
          <w:rFonts w:ascii="Times New Roman" w:hAnsi="Times New Roman" w:cs="Times New Roman"/>
          <w:sz w:val="24"/>
          <w:szCs w:val="24"/>
          <w:lang w:val="en-AU"/>
        </w:rPr>
        <w:t>elexible</w:t>
      </w:r>
      <w:proofErr w:type="spellEnd"/>
      <w:r w:rsidR="006E3962">
        <w:rPr>
          <w:rFonts w:ascii="Times New Roman" w:hAnsi="Times New Roman" w:cs="Times New Roman"/>
          <w:sz w:val="24"/>
          <w:szCs w:val="24"/>
          <w:lang w:val="en-AU"/>
        </w:rPr>
        <w:t>. Some flexibility</w:t>
      </w:r>
      <w:r w:rsidR="00BB370D" w:rsidRPr="002E5F86">
        <w:rPr>
          <w:rFonts w:ascii="Times New Roman" w:hAnsi="Times New Roman" w:cs="Times New Roman"/>
          <w:sz w:val="24"/>
          <w:szCs w:val="24"/>
          <w:lang w:val="en-AU"/>
        </w:rPr>
        <w:t xml:space="preserve"> exists in the determination of the time to perceive income from lay-by deals and client reliability program. </w:t>
      </w:r>
    </w:p>
    <w:p w14:paraId="37E912EE" w14:textId="6328BDE5"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The expense of inventories can be assessed utilizing </w:t>
      </w:r>
      <w:proofErr w:type="gramStart"/>
      <w:r w:rsidRPr="002E5F86">
        <w:rPr>
          <w:rFonts w:ascii="Times New Roman" w:hAnsi="Times New Roman" w:cs="Times New Roman"/>
          <w:sz w:val="24"/>
          <w:szCs w:val="24"/>
          <w:lang w:val="en-AU"/>
        </w:rPr>
        <w:t xml:space="preserve">the </w:t>
      </w:r>
      <w:r w:rsidR="006E3962">
        <w:rPr>
          <w:rFonts w:ascii="Times New Roman" w:hAnsi="Times New Roman" w:cs="Times New Roman"/>
          <w:sz w:val="24"/>
          <w:szCs w:val="24"/>
          <w:lang w:val="en-AU"/>
        </w:rPr>
        <w:t xml:space="preserve"> FIFO</w:t>
      </w:r>
      <w:proofErr w:type="gramEnd"/>
      <w:r w:rsidR="006E3962">
        <w:rPr>
          <w:rFonts w:ascii="Times New Roman" w:hAnsi="Times New Roman" w:cs="Times New Roman"/>
          <w:sz w:val="24"/>
          <w:szCs w:val="24"/>
          <w:lang w:val="en-AU"/>
        </w:rPr>
        <w:t xml:space="preserve"> method</w:t>
      </w:r>
      <w:r w:rsidRPr="002E5F86">
        <w:rPr>
          <w:rFonts w:ascii="Times New Roman" w:hAnsi="Times New Roman" w:cs="Times New Roman"/>
          <w:sz w:val="24"/>
          <w:szCs w:val="24"/>
          <w:lang w:val="en-AU"/>
        </w:rPr>
        <w:t xml:space="preserve"> or weighted normal expense equation. Consenting to </w:t>
      </w:r>
      <w:r w:rsidR="0077457A">
        <w:rPr>
          <w:rFonts w:ascii="Times New Roman" w:hAnsi="Times New Roman" w:cs="Times New Roman"/>
          <w:sz w:val="24"/>
          <w:szCs w:val="24"/>
          <w:lang w:val="en-AU"/>
        </w:rPr>
        <w:t>para 25 of AASB 102</w:t>
      </w:r>
      <w:r w:rsidRPr="002E5F86">
        <w:rPr>
          <w:rFonts w:ascii="Times New Roman" w:hAnsi="Times New Roman" w:cs="Times New Roman"/>
          <w:sz w:val="24"/>
          <w:szCs w:val="24"/>
          <w:lang w:val="en-AU"/>
        </w:rPr>
        <w:t>, Woolworths ought to utilize same expense equation for all inventories that are compar</w:t>
      </w:r>
      <w:r w:rsidR="005720CC">
        <w:rPr>
          <w:rFonts w:ascii="Times New Roman" w:hAnsi="Times New Roman" w:cs="Times New Roman"/>
          <w:sz w:val="24"/>
          <w:szCs w:val="24"/>
          <w:lang w:val="en-AU"/>
        </w:rPr>
        <w:t>able</w:t>
      </w:r>
      <w:r w:rsidR="00DA1636">
        <w:rPr>
          <w:rFonts w:ascii="Times New Roman" w:hAnsi="Times New Roman" w:cs="Times New Roman"/>
          <w:sz w:val="24"/>
          <w:szCs w:val="24"/>
          <w:lang w:val="en-AU"/>
        </w:rPr>
        <w:t xml:space="preserve">. Woolworths utilized weighted average cost equation reliably for past several years. </w:t>
      </w:r>
    </w:p>
    <w:p w14:paraId="613DC694" w14:textId="49C6E05C"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Under AASB 116.62, Woolworths' adm</w:t>
      </w:r>
      <w:r w:rsidR="00E56FDF">
        <w:rPr>
          <w:rFonts w:ascii="Times New Roman" w:hAnsi="Times New Roman" w:cs="Times New Roman"/>
          <w:sz w:val="24"/>
          <w:szCs w:val="24"/>
          <w:lang w:val="en-AU"/>
        </w:rPr>
        <w:t>inistration is permitted to choose</w:t>
      </w:r>
      <w:r w:rsidRPr="002E5F86">
        <w:rPr>
          <w:rFonts w:ascii="Times New Roman" w:hAnsi="Times New Roman" w:cs="Times New Roman"/>
          <w:sz w:val="24"/>
          <w:szCs w:val="24"/>
          <w:lang w:val="en-AU"/>
        </w:rPr>
        <w:t xml:space="preserve"> the devaluation system that most nearly mirrors the </w:t>
      </w:r>
      <w:r w:rsidR="00E01D0F">
        <w:rPr>
          <w:rFonts w:ascii="Times New Roman" w:hAnsi="Times New Roman" w:cs="Times New Roman"/>
          <w:sz w:val="24"/>
          <w:szCs w:val="24"/>
          <w:lang w:val="en-AU"/>
        </w:rPr>
        <w:t>actual devaluation.</w:t>
      </w:r>
      <w:r w:rsidRPr="002E5F86">
        <w:rPr>
          <w:rFonts w:ascii="Times New Roman" w:hAnsi="Times New Roman" w:cs="Times New Roman"/>
          <w:sz w:val="24"/>
          <w:szCs w:val="24"/>
          <w:lang w:val="en-AU"/>
        </w:rPr>
        <w:t xml:space="preserve"> Then again, that picked system ought to be connected reliably now and again unless there is a change in expected example of utilization</w:t>
      </w:r>
      <w:sdt>
        <w:sdtPr>
          <w:rPr>
            <w:rFonts w:ascii="Times New Roman" w:hAnsi="Times New Roman" w:cs="Times New Roman"/>
            <w:sz w:val="24"/>
            <w:szCs w:val="24"/>
            <w:lang w:val="en-AU"/>
          </w:rPr>
          <w:id w:val="1718164196"/>
          <w:citation/>
        </w:sdtPr>
        <w:sdtEndPr/>
        <w:sdtContent>
          <w:r w:rsidR="00AB5C6D">
            <w:rPr>
              <w:rFonts w:ascii="Times New Roman" w:hAnsi="Times New Roman" w:cs="Times New Roman"/>
              <w:sz w:val="24"/>
              <w:szCs w:val="24"/>
              <w:lang w:val="en-AU"/>
            </w:rPr>
            <w:fldChar w:fldCharType="begin"/>
          </w:r>
          <w:r w:rsidR="00AB5C6D">
            <w:rPr>
              <w:rFonts w:ascii="Times New Roman" w:hAnsi="Times New Roman" w:cs="Times New Roman"/>
              <w:sz w:val="24"/>
              <w:szCs w:val="24"/>
              <w:lang w:val="en-US"/>
            </w:rPr>
            <w:instrText xml:space="preserve"> CITATION Bri10 \l 1033 </w:instrText>
          </w:r>
          <w:r w:rsidR="00AB5C6D">
            <w:rPr>
              <w:rFonts w:ascii="Times New Roman" w:hAnsi="Times New Roman" w:cs="Times New Roman"/>
              <w:sz w:val="24"/>
              <w:szCs w:val="24"/>
              <w:lang w:val="en-AU"/>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(Brigham &amp; Ehhardt, 2010)</w:t>
          </w:r>
          <w:r w:rsidR="00AB5C6D">
            <w:rPr>
              <w:rFonts w:ascii="Times New Roman" w:hAnsi="Times New Roman" w:cs="Times New Roman"/>
              <w:sz w:val="24"/>
              <w:szCs w:val="24"/>
              <w:lang w:val="en-AU"/>
            </w:rPr>
            <w:fldChar w:fldCharType="end"/>
          </w:r>
        </w:sdtContent>
      </w:sdt>
      <w:r w:rsidRPr="002E5F86">
        <w:rPr>
          <w:rFonts w:ascii="Times New Roman" w:hAnsi="Times New Roman" w:cs="Times New Roman"/>
          <w:sz w:val="24"/>
          <w:szCs w:val="24"/>
          <w:lang w:val="en-AU"/>
        </w:rPr>
        <w:t>. Deterioration strategies incorporate straight-line, decreasing equalization and the units of generation techniques. Woolworths</w:t>
      </w:r>
      <w:r w:rsidR="00364551">
        <w:rPr>
          <w:rFonts w:ascii="Times New Roman" w:hAnsi="Times New Roman" w:cs="Times New Roman"/>
          <w:sz w:val="24"/>
          <w:szCs w:val="24"/>
          <w:lang w:val="en-AU"/>
        </w:rPr>
        <w:t xml:space="preserve"> utilized straight-line method</w:t>
      </w:r>
      <w:r w:rsidRPr="002E5F86">
        <w:rPr>
          <w:rFonts w:ascii="Times New Roman" w:hAnsi="Times New Roman" w:cs="Times New Roman"/>
          <w:sz w:val="24"/>
          <w:szCs w:val="24"/>
          <w:lang w:val="en-AU"/>
        </w:rPr>
        <w:t xml:space="preserve"> to ascertain devaluation on substantial resources for the money </w:t>
      </w:r>
      <w:r w:rsidR="00364551">
        <w:rPr>
          <w:rFonts w:ascii="Times New Roman" w:hAnsi="Times New Roman" w:cs="Times New Roman"/>
          <w:sz w:val="24"/>
          <w:szCs w:val="24"/>
          <w:lang w:val="en-AU"/>
        </w:rPr>
        <w:t xml:space="preserve">related years </w:t>
      </w:r>
      <w:proofErr w:type="gramStart"/>
      <w:r w:rsidR="00364551">
        <w:rPr>
          <w:rFonts w:ascii="Times New Roman" w:hAnsi="Times New Roman" w:cs="Times New Roman"/>
          <w:sz w:val="24"/>
          <w:szCs w:val="24"/>
          <w:lang w:val="en-AU"/>
        </w:rPr>
        <w:t>between 2012-2015</w:t>
      </w:r>
      <w:proofErr w:type="gramEnd"/>
      <w:r w:rsidR="00364551">
        <w:rPr>
          <w:rFonts w:ascii="Times New Roman" w:hAnsi="Times New Roman" w:cs="Times New Roman"/>
          <w:sz w:val="24"/>
          <w:szCs w:val="24"/>
          <w:lang w:val="en-AU"/>
        </w:rPr>
        <w:t xml:space="preserve">. </w:t>
      </w:r>
    </w:p>
    <w:p w14:paraId="343791C9" w14:textId="77777777" w:rsidR="00AF5814" w:rsidRPr="002E5F86" w:rsidRDefault="00AF5814" w:rsidP="00652892">
      <w:pPr>
        <w:pStyle w:val="Heading2"/>
        <w:spacing w:line="600" w:lineRule="auto"/>
        <w:jc w:val="both"/>
        <w:rPr>
          <w:rFonts w:ascii="Times New Roman" w:hAnsi="Times New Roman" w:cs="Times New Roman"/>
          <w:sz w:val="24"/>
          <w:szCs w:val="24"/>
          <w:lang w:val="en-AU"/>
        </w:rPr>
      </w:pPr>
      <w:bookmarkStart w:id="7" w:name="_Toc429322207"/>
      <w:r w:rsidRPr="002E5F86">
        <w:rPr>
          <w:rFonts w:ascii="Times New Roman" w:hAnsi="Times New Roman" w:cs="Times New Roman"/>
          <w:sz w:val="24"/>
          <w:szCs w:val="24"/>
          <w:lang w:val="en-AU"/>
        </w:rPr>
        <w:t xml:space="preserve">3. </w:t>
      </w:r>
      <w:bookmarkStart w:id="8" w:name="OLE_LINK1"/>
      <w:bookmarkStart w:id="9" w:name="OLE_LINK2"/>
      <w:r w:rsidRPr="002E5F86">
        <w:rPr>
          <w:rFonts w:ascii="Times New Roman" w:hAnsi="Times New Roman" w:cs="Times New Roman"/>
          <w:sz w:val="24"/>
          <w:szCs w:val="24"/>
          <w:lang w:val="en-AU"/>
        </w:rPr>
        <w:t>Evaluate Accounting Strategy</w:t>
      </w:r>
      <w:bookmarkEnd w:id="7"/>
      <w:r w:rsidRPr="002E5F86">
        <w:rPr>
          <w:rFonts w:ascii="Times New Roman" w:hAnsi="Times New Roman" w:cs="Times New Roman"/>
          <w:sz w:val="24"/>
          <w:szCs w:val="24"/>
          <w:lang w:val="en-AU"/>
        </w:rPr>
        <w:t xml:space="preserve"> </w:t>
      </w:r>
      <w:bookmarkEnd w:id="8"/>
      <w:bookmarkEnd w:id="9"/>
    </w:p>
    <w:p w14:paraId="6F753AEF" w14:textId="77777777" w:rsidR="00BB370D" w:rsidRPr="002E5F86" w:rsidRDefault="00BB370D" w:rsidP="007D4564">
      <w:pPr>
        <w:pStyle w:val="Heading3"/>
        <w:rPr>
          <w:lang w:val="en-AU"/>
        </w:rPr>
      </w:pPr>
      <w:bookmarkStart w:id="10" w:name="_Toc429322208"/>
      <w:r w:rsidRPr="002E5F86">
        <w:rPr>
          <w:lang w:val="en-AU"/>
        </w:rPr>
        <w:t>Contrast with industry standards</w:t>
      </w:r>
      <w:bookmarkEnd w:id="10"/>
      <w:r w:rsidRPr="002E5F86">
        <w:rPr>
          <w:lang w:val="en-AU"/>
        </w:rPr>
        <w:t xml:space="preserve"> </w:t>
      </w:r>
    </w:p>
    <w:p w14:paraId="4BB1E428" w14:textId="77777777" w:rsidR="007D4564" w:rsidRPr="002E5F86" w:rsidRDefault="007D4564" w:rsidP="007D4564">
      <w:pPr>
        <w:rPr>
          <w:sz w:val="24"/>
          <w:szCs w:val="24"/>
          <w:lang w:val="en-AU"/>
        </w:rPr>
      </w:pPr>
    </w:p>
    <w:p w14:paraId="0F13FC39" w14:textId="77777777"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The accompanying correlations are taking into account Woolworths Limited and David Jones: </w:t>
      </w:r>
    </w:p>
    <w:p w14:paraId="35013BA5" w14:textId="77777777"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lastRenderedPageBreak/>
        <w:t xml:space="preserve">The exposure of Consolidation in David Jones concentrate on expressing that there is control existing between the Company and Subsidiaries, regardless of specifically or by implication. In surveying control, it is taken into consider that potential voting rights that in the blink of an eye are exercisable or convertible. Also, the Intra-bunch exchanges are disposed of in setting up the merged Financial Statements, which is same as Woolworths. </w:t>
      </w:r>
    </w:p>
    <w:p w14:paraId="0B59EC28" w14:textId="77777777" w:rsidR="00BB370D" w:rsidRPr="002E5F86" w:rsidRDefault="00BB370D" w:rsidP="00652892">
      <w:pPr>
        <w:spacing w:line="600" w:lineRule="auto"/>
        <w:jc w:val="both"/>
        <w:rPr>
          <w:rFonts w:ascii="Times New Roman" w:hAnsi="Times New Roman" w:cs="Times New Roman"/>
          <w:sz w:val="24"/>
          <w:szCs w:val="24"/>
          <w:lang w:val="en-AU"/>
        </w:rPr>
      </w:pPr>
    </w:p>
    <w:p w14:paraId="13C56B63" w14:textId="1123DFEE"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Income perceived by David Jones is the degree that it is plausible that the monetary advantages will stream to the Consolidated Entity, and the income can be dependably measured. Income from offer of merchandise is perceived when the huge dangers and prizes of proprietorship have been effectively exchanged to the purchaser. What's more, non-office deals made under Retail Brand Management understandings, and also commission earned on organization deals are all perceived as Revenue from the offer of merchandise. Further, Revenue from blessing cards is perceived when the card's parity is halfway or completely recovered by the client while acquiring products by means of the card. Taking into account the Reports of David Jones, Revenue additionally incorporates Commissions Earned and Finance Income, which is a premium receipt through the money related instrument</w:t>
      </w:r>
      <w:sdt>
        <w:sdtPr>
          <w:rPr>
            <w:rFonts w:ascii="Times New Roman" w:hAnsi="Times New Roman" w:cs="Times New Roman"/>
            <w:sz w:val="24"/>
            <w:szCs w:val="24"/>
            <w:lang w:val="en-AU"/>
          </w:rPr>
          <w:id w:val="115736743"/>
          <w:citation/>
        </w:sdtPr>
        <w:sdtEndPr/>
        <w:sdtContent>
          <w:r w:rsidR="00AB5C6D">
            <w:rPr>
              <w:rFonts w:ascii="Times New Roman" w:hAnsi="Times New Roman" w:cs="Times New Roman"/>
              <w:sz w:val="24"/>
              <w:szCs w:val="24"/>
              <w:lang w:val="en-AU"/>
            </w:rPr>
            <w:fldChar w:fldCharType="begin"/>
          </w:r>
          <w:r w:rsidR="00AB5C6D">
            <w:rPr>
              <w:rFonts w:ascii="Times New Roman" w:hAnsi="Times New Roman" w:cs="Times New Roman"/>
              <w:sz w:val="24"/>
              <w:szCs w:val="24"/>
              <w:lang w:val="en-US"/>
            </w:rPr>
            <w:instrText xml:space="preserve"> CITATION Hol09 \l 1033 </w:instrText>
          </w:r>
          <w:r w:rsidR="00AB5C6D">
            <w:rPr>
              <w:rFonts w:ascii="Times New Roman" w:hAnsi="Times New Roman" w:cs="Times New Roman"/>
              <w:sz w:val="24"/>
              <w:szCs w:val="24"/>
              <w:lang w:val="en-AU"/>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(Holmen &amp; Pramborg, 2009)</w:t>
          </w:r>
          <w:r w:rsidR="00AB5C6D">
            <w:rPr>
              <w:rFonts w:ascii="Times New Roman" w:hAnsi="Times New Roman" w:cs="Times New Roman"/>
              <w:sz w:val="24"/>
              <w:szCs w:val="24"/>
              <w:lang w:val="en-AU"/>
            </w:rPr>
            <w:fldChar w:fldCharType="end"/>
          </w:r>
        </w:sdtContent>
      </w:sdt>
      <w:r w:rsidRPr="002E5F86">
        <w:rPr>
          <w:rFonts w:ascii="Times New Roman" w:hAnsi="Times New Roman" w:cs="Times New Roman"/>
          <w:sz w:val="24"/>
          <w:szCs w:val="24"/>
          <w:lang w:val="en-AU"/>
        </w:rPr>
        <w:t xml:space="preserve">. </w:t>
      </w:r>
    </w:p>
    <w:p w14:paraId="17B578ED" w14:textId="77777777" w:rsidR="00BB370D" w:rsidRPr="002E5F86" w:rsidRDefault="00BB370D" w:rsidP="00652892">
      <w:pPr>
        <w:spacing w:line="600" w:lineRule="auto"/>
        <w:jc w:val="both"/>
        <w:rPr>
          <w:rFonts w:ascii="Times New Roman" w:hAnsi="Times New Roman" w:cs="Times New Roman"/>
          <w:sz w:val="24"/>
          <w:szCs w:val="24"/>
          <w:lang w:val="en-AU"/>
        </w:rPr>
      </w:pPr>
    </w:p>
    <w:p w14:paraId="27ECEC46" w14:textId="77777777"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David Jones additionally expressed that the estimation of inventories is perceived at the lower of expense and net feasible worth with expense principally using so as to be controlled the retail </w:t>
      </w:r>
      <w:r w:rsidRPr="002E5F86">
        <w:rPr>
          <w:rFonts w:ascii="Times New Roman" w:hAnsi="Times New Roman" w:cs="Times New Roman"/>
          <w:sz w:val="24"/>
          <w:szCs w:val="24"/>
          <w:lang w:val="en-AU"/>
        </w:rPr>
        <w:lastRenderedPageBreak/>
        <w:t xml:space="preserve">stock system. Any supplier refunds, rebates and sponsorships are distinguished as a diminishment in the expense of stock and are recorded as a lessening in the expense of offer when the stock is sold. </w:t>
      </w:r>
    </w:p>
    <w:p w14:paraId="4730FA8B" w14:textId="77777777" w:rsidR="00BB370D" w:rsidRPr="002E5F86" w:rsidRDefault="00BB370D" w:rsidP="00652892">
      <w:pPr>
        <w:spacing w:line="600" w:lineRule="auto"/>
        <w:jc w:val="both"/>
        <w:rPr>
          <w:rFonts w:ascii="Times New Roman" w:hAnsi="Times New Roman" w:cs="Times New Roman"/>
          <w:sz w:val="24"/>
          <w:szCs w:val="24"/>
          <w:lang w:val="en-AU"/>
        </w:rPr>
      </w:pPr>
    </w:p>
    <w:p w14:paraId="3D087A6B" w14:textId="77777777"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David Jones' Intangible Assets just incorporate Goodwill and Software. The strategy to weaken the Goodwill is same as Woolworths, and Software is amortized on a straight-line premise over the evaluated valuable life. The other substantial resources are in view of the straight-line strategy also, yet just the classes and the assessed helpful lives are diverse. </w:t>
      </w:r>
    </w:p>
    <w:p w14:paraId="6EB02108" w14:textId="77777777" w:rsidR="00BB370D" w:rsidRPr="002E5F86" w:rsidRDefault="00BB370D" w:rsidP="007D4564">
      <w:pPr>
        <w:pStyle w:val="Heading3"/>
        <w:rPr>
          <w:lang w:val="en-AU"/>
        </w:rPr>
      </w:pPr>
      <w:bookmarkStart w:id="11" w:name="_Toc429322209"/>
      <w:r w:rsidRPr="002E5F86">
        <w:rPr>
          <w:lang w:val="en-AU"/>
        </w:rPr>
        <w:t>Does administration have motivations to control?</w:t>
      </w:r>
      <w:bookmarkEnd w:id="11"/>
      <w:r w:rsidRPr="002E5F86">
        <w:rPr>
          <w:lang w:val="en-AU"/>
        </w:rPr>
        <w:t xml:space="preserve"> </w:t>
      </w:r>
    </w:p>
    <w:p w14:paraId="75F02D42" w14:textId="77777777" w:rsidR="00BB370D" w:rsidRPr="002E5F86" w:rsidRDefault="00BB370D" w:rsidP="00652892">
      <w:pPr>
        <w:spacing w:line="600" w:lineRule="auto"/>
        <w:jc w:val="both"/>
        <w:rPr>
          <w:rFonts w:ascii="Times New Roman" w:hAnsi="Times New Roman" w:cs="Times New Roman"/>
          <w:sz w:val="24"/>
          <w:szCs w:val="24"/>
          <w:lang w:val="en-AU"/>
        </w:rPr>
      </w:pPr>
    </w:p>
    <w:p w14:paraId="1A0538D6" w14:textId="1592DC79" w:rsidR="00BB370D" w:rsidRPr="002E5F86" w:rsidRDefault="00CE16BC" w:rsidP="00652892">
      <w:pPr>
        <w:spacing w:line="600" w:lineRule="auto"/>
        <w:jc w:val="both"/>
        <w:rPr>
          <w:rFonts w:ascii="Times New Roman" w:hAnsi="Times New Roman" w:cs="Times New Roman"/>
          <w:sz w:val="24"/>
          <w:szCs w:val="24"/>
          <w:lang w:val="en-AU"/>
        </w:rPr>
      </w:pPr>
      <w:r>
        <w:rPr>
          <w:rFonts w:ascii="Times New Roman" w:hAnsi="Times New Roman" w:cs="Times New Roman"/>
          <w:sz w:val="24"/>
          <w:szCs w:val="24"/>
          <w:lang w:val="en-AU"/>
        </w:rPr>
        <w:t>All major officers</w:t>
      </w:r>
      <w:r w:rsidR="00BB370D" w:rsidRPr="002E5F86">
        <w:rPr>
          <w:rFonts w:ascii="Times New Roman" w:hAnsi="Times New Roman" w:cs="Times New Roman"/>
          <w:sz w:val="24"/>
          <w:szCs w:val="24"/>
          <w:lang w:val="en-AU"/>
        </w:rPr>
        <w:t xml:space="preserve"> of Woolworths own</w:t>
      </w:r>
      <w:r>
        <w:rPr>
          <w:rFonts w:ascii="Times New Roman" w:hAnsi="Times New Roman" w:cs="Times New Roman"/>
          <w:sz w:val="24"/>
          <w:szCs w:val="24"/>
          <w:lang w:val="en-AU"/>
        </w:rPr>
        <w:t xml:space="preserve"> shares in the organization. These </w:t>
      </w:r>
      <w:r w:rsidR="00BB370D" w:rsidRPr="002E5F86">
        <w:rPr>
          <w:rFonts w:ascii="Times New Roman" w:hAnsi="Times New Roman" w:cs="Times New Roman"/>
          <w:sz w:val="24"/>
          <w:szCs w:val="24"/>
          <w:lang w:val="en-AU"/>
        </w:rPr>
        <w:t>shares are held by the vast majority of the executives are bene</w:t>
      </w:r>
      <w:r>
        <w:rPr>
          <w:rFonts w:ascii="Times New Roman" w:hAnsi="Times New Roman" w:cs="Times New Roman"/>
          <w:sz w:val="24"/>
          <w:szCs w:val="24"/>
          <w:lang w:val="en-AU"/>
        </w:rPr>
        <w:t xml:space="preserve">ath one million shares. Ralphs Waters is the chairman of the company, he has good </w:t>
      </w:r>
      <w:proofErr w:type="spellStart"/>
      <w:r>
        <w:rPr>
          <w:rFonts w:ascii="Times New Roman" w:hAnsi="Times New Roman" w:cs="Times New Roman"/>
          <w:sz w:val="24"/>
          <w:szCs w:val="24"/>
          <w:lang w:val="en-AU"/>
        </w:rPr>
        <w:t>share holding</w:t>
      </w:r>
      <w:proofErr w:type="spellEnd"/>
      <w:r>
        <w:rPr>
          <w:rFonts w:ascii="Times New Roman" w:hAnsi="Times New Roman" w:cs="Times New Roman"/>
          <w:sz w:val="24"/>
          <w:szCs w:val="24"/>
          <w:lang w:val="en-AU"/>
        </w:rPr>
        <w:t xml:space="preserve"> in the company</w:t>
      </w:r>
      <w:sdt>
        <w:sdtPr>
          <w:rPr>
            <w:rFonts w:ascii="Times New Roman" w:hAnsi="Times New Roman" w:cs="Times New Roman"/>
            <w:sz w:val="24"/>
            <w:szCs w:val="24"/>
            <w:lang w:val="en-AU"/>
          </w:rPr>
          <w:id w:val="1261492042"/>
          <w:citation/>
        </w:sdtPr>
        <w:sdtEndPr/>
        <w:sdtContent>
          <w:r w:rsidR="00AB5C6D">
            <w:rPr>
              <w:rFonts w:ascii="Times New Roman" w:hAnsi="Times New Roman" w:cs="Times New Roman"/>
              <w:sz w:val="24"/>
              <w:szCs w:val="24"/>
              <w:lang w:val="en-AU"/>
            </w:rPr>
            <w:fldChar w:fldCharType="begin"/>
          </w:r>
          <w:r w:rsidR="00AB5C6D">
            <w:rPr>
              <w:rFonts w:ascii="Times New Roman" w:hAnsi="Times New Roman" w:cs="Times New Roman"/>
              <w:sz w:val="24"/>
              <w:szCs w:val="24"/>
              <w:lang w:val="en-US"/>
            </w:rPr>
            <w:instrText xml:space="preserve"> CITATION Atr12 \l 1033 </w:instrText>
          </w:r>
          <w:r w:rsidR="00AB5C6D">
            <w:rPr>
              <w:rFonts w:ascii="Times New Roman" w:hAnsi="Times New Roman" w:cs="Times New Roman"/>
              <w:sz w:val="24"/>
              <w:szCs w:val="24"/>
              <w:lang w:val="en-AU"/>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(P, 2012)</w:t>
          </w:r>
          <w:r w:rsidR="00AB5C6D">
            <w:rPr>
              <w:rFonts w:ascii="Times New Roman" w:hAnsi="Times New Roman" w:cs="Times New Roman"/>
              <w:sz w:val="24"/>
              <w:szCs w:val="24"/>
              <w:lang w:val="en-AU"/>
            </w:rPr>
            <w:fldChar w:fldCharType="end"/>
          </w:r>
        </w:sdtContent>
      </w:sdt>
      <w:r w:rsidR="00BB370D" w:rsidRPr="002E5F86">
        <w:rPr>
          <w:rFonts w:ascii="Times New Roman" w:hAnsi="Times New Roman" w:cs="Times New Roman"/>
          <w:sz w:val="24"/>
          <w:szCs w:val="24"/>
          <w:lang w:val="en-AU"/>
        </w:rPr>
        <w:t xml:space="preserve">. What's more, his obligations are the turnaround and modifying of the Woolworths business. There is no critical proof demonstrated in the Annual Reports that chiefs are experiencing issues meeting bookkeeping based extra targets or have settled on any choices to decrease charge </w:t>
      </w:r>
      <w:proofErr w:type="spellStart"/>
      <w:r w:rsidR="00BB370D" w:rsidRPr="002E5F86">
        <w:rPr>
          <w:rFonts w:ascii="Times New Roman" w:hAnsi="Times New Roman" w:cs="Times New Roman"/>
          <w:sz w:val="24"/>
          <w:szCs w:val="24"/>
          <w:lang w:val="en-AU"/>
        </w:rPr>
        <w:t>installments</w:t>
      </w:r>
      <w:proofErr w:type="spellEnd"/>
      <w:r w:rsidR="00BB370D" w:rsidRPr="002E5F86">
        <w:rPr>
          <w:rFonts w:ascii="Times New Roman" w:hAnsi="Times New Roman" w:cs="Times New Roman"/>
          <w:sz w:val="24"/>
          <w:szCs w:val="24"/>
          <w:lang w:val="en-AU"/>
        </w:rPr>
        <w:t xml:space="preserve">. It is additionally not able to discover any data that Woolworths is amidst an intermediary battle or arrangements and near disregarding bond pledges. </w:t>
      </w:r>
    </w:p>
    <w:p w14:paraId="317D6E34" w14:textId="77777777" w:rsidR="00BB370D" w:rsidRPr="002E5F86" w:rsidRDefault="00BB370D" w:rsidP="007D4564">
      <w:pPr>
        <w:pStyle w:val="Heading3"/>
        <w:rPr>
          <w:lang w:val="en-AU"/>
        </w:rPr>
      </w:pPr>
      <w:bookmarkStart w:id="12" w:name="_Toc429322210"/>
      <w:r w:rsidRPr="002E5F86">
        <w:rPr>
          <w:lang w:val="en-AU"/>
        </w:rPr>
        <w:t>Any adjustments in arrangements/gauges?</w:t>
      </w:r>
      <w:bookmarkEnd w:id="12"/>
      <w:r w:rsidRPr="002E5F86">
        <w:rPr>
          <w:lang w:val="en-AU"/>
        </w:rPr>
        <w:t xml:space="preserve"> </w:t>
      </w:r>
    </w:p>
    <w:p w14:paraId="520D9925" w14:textId="77777777" w:rsidR="007D4564" w:rsidRPr="002E5F86" w:rsidRDefault="007D4564" w:rsidP="007D4564">
      <w:pPr>
        <w:rPr>
          <w:sz w:val="24"/>
          <w:szCs w:val="24"/>
          <w:lang w:val="en-AU"/>
        </w:rPr>
      </w:pPr>
    </w:p>
    <w:p w14:paraId="09D4480F" w14:textId="77777777"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lastRenderedPageBreak/>
        <w:t xml:space="preserve">There are new measures and alterations reception and application in each FY, yet a large portion of the progressions are underlined by Woolworths that there is no effect on the Group's bookkeeping approaches or the sums perceived in the budgetary articulations in the current financial period. </w:t>
      </w:r>
    </w:p>
    <w:p w14:paraId="2FDD0F63" w14:textId="77777777" w:rsidR="00BB370D" w:rsidRPr="002E5F86" w:rsidRDefault="00BB370D" w:rsidP="00652892">
      <w:pPr>
        <w:spacing w:line="600" w:lineRule="auto"/>
        <w:jc w:val="both"/>
        <w:rPr>
          <w:rFonts w:ascii="Times New Roman" w:hAnsi="Times New Roman" w:cs="Times New Roman"/>
          <w:sz w:val="24"/>
          <w:szCs w:val="24"/>
          <w:lang w:val="en-AU"/>
        </w:rPr>
      </w:pPr>
    </w:p>
    <w:p w14:paraId="4EA41BAF" w14:textId="77777777" w:rsidR="00BB370D" w:rsidRPr="002E5F86" w:rsidRDefault="00BB370D" w:rsidP="007D4564">
      <w:pPr>
        <w:pStyle w:val="Heading3"/>
        <w:rPr>
          <w:lang w:val="en-AU"/>
        </w:rPr>
      </w:pPr>
      <w:bookmarkStart w:id="13" w:name="_Toc429322211"/>
      <w:r w:rsidRPr="002E5F86">
        <w:rPr>
          <w:lang w:val="en-AU"/>
        </w:rPr>
        <w:t>What is the historical backdrop of bookkeeping conformities?</w:t>
      </w:r>
      <w:bookmarkEnd w:id="13"/>
      <w:r w:rsidRPr="002E5F86">
        <w:rPr>
          <w:lang w:val="en-AU"/>
        </w:rPr>
        <w:t xml:space="preserve"> </w:t>
      </w:r>
    </w:p>
    <w:p w14:paraId="08C6F6CC" w14:textId="77777777" w:rsidR="00BB370D" w:rsidRPr="002E5F86" w:rsidRDefault="00BB370D" w:rsidP="00652892">
      <w:pPr>
        <w:spacing w:line="600" w:lineRule="auto"/>
        <w:jc w:val="both"/>
        <w:rPr>
          <w:rFonts w:ascii="Times New Roman" w:hAnsi="Times New Roman" w:cs="Times New Roman"/>
          <w:sz w:val="24"/>
          <w:szCs w:val="24"/>
          <w:lang w:val="en-AU"/>
        </w:rPr>
      </w:pPr>
    </w:p>
    <w:p w14:paraId="53F6AB01" w14:textId="4E134E6E" w:rsidR="00BB370D" w:rsidRPr="002E5F86" w:rsidRDefault="002564C2"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 xml:space="preserve"> There is no such back drop of conformities found in the financial </w:t>
      </w:r>
      <w:proofErr w:type="spellStart"/>
      <w:r w:rsidRPr="002E5F86">
        <w:rPr>
          <w:rFonts w:ascii="Times New Roman" w:hAnsi="Times New Roman" w:cs="Times New Roman"/>
          <w:sz w:val="24"/>
          <w:szCs w:val="24"/>
          <w:lang w:val="en-AU"/>
        </w:rPr>
        <w:t>statemetns</w:t>
      </w:r>
      <w:proofErr w:type="spellEnd"/>
      <w:r w:rsidRPr="002E5F86">
        <w:rPr>
          <w:rFonts w:ascii="Times New Roman" w:hAnsi="Times New Roman" w:cs="Times New Roman"/>
          <w:sz w:val="24"/>
          <w:szCs w:val="24"/>
          <w:lang w:val="en-AU"/>
        </w:rPr>
        <w:t xml:space="preserve"> of the company. </w:t>
      </w:r>
    </w:p>
    <w:p w14:paraId="7965AED2" w14:textId="77777777" w:rsidR="00BB370D" w:rsidRPr="002E5F86" w:rsidRDefault="00BB370D" w:rsidP="002564C2">
      <w:pPr>
        <w:pStyle w:val="Heading3"/>
        <w:rPr>
          <w:lang w:val="en-AU"/>
        </w:rPr>
      </w:pPr>
      <w:bookmarkStart w:id="14" w:name="_Toc429322212"/>
      <w:r w:rsidRPr="002E5F86">
        <w:rPr>
          <w:lang w:val="en-AU"/>
        </w:rPr>
        <w:t>Are any exchanges organized just for a bookkeeping result?</w:t>
      </w:r>
      <w:bookmarkEnd w:id="14"/>
      <w:r w:rsidRPr="002E5F86">
        <w:rPr>
          <w:lang w:val="en-AU"/>
        </w:rPr>
        <w:t xml:space="preserve"> </w:t>
      </w:r>
    </w:p>
    <w:p w14:paraId="5CA0C47A" w14:textId="46747FC4"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Exchanges are organized just for a bookkeeping result incorporates Depreciation and Amortization, Fair esteem alteration and intra-bunch exchanges.</w:t>
      </w:r>
    </w:p>
    <w:p w14:paraId="5D4158FB" w14:textId="02B32110" w:rsidR="00AF5814" w:rsidRPr="002E5F86" w:rsidRDefault="00AF5814" w:rsidP="00652892">
      <w:pPr>
        <w:pStyle w:val="Heading2"/>
        <w:spacing w:line="600" w:lineRule="auto"/>
        <w:jc w:val="both"/>
        <w:rPr>
          <w:rFonts w:ascii="Times New Roman" w:hAnsi="Times New Roman" w:cs="Times New Roman"/>
          <w:sz w:val="24"/>
          <w:szCs w:val="24"/>
          <w:lang w:val="en-AU"/>
        </w:rPr>
      </w:pPr>
      <w:bookmarkStart w:id="15" w:name="_Toc429322213"/>
      <w:r w:rsidRPr="002E5F86">
        <w:rPr>
          <w:rFonts w:ascii="Times New Roman" w:hAnsi="Times New Roman" w:cs="Times New Roman"/>
          <w:sz w:val="24"/>
          <w:szCs w:val="24"/>
          <w:lang w:val="en-AU"/>
        </w:rPr>
        <w:t>4. Evaluate the Quality of Disclosure</w:t>
      </w:r>
      <w:r w:rsidR="000649F2" w:rsidRPr="002E5F86">
        <w:rPr>
          <w:rFonts w:ascii="Times New Roman" w:hAnsi="Times New Roman" w:cs="Times New Roman"/>
          <w:sz w:val="24"/>
          <w:szCs w:val="24"/>
          <w:lang w:val="en-AU"/>
        </w:rPr>
        <w:t xml:space="preserve"> (appendix 9)</w:t>
      </w:r>
      <w:bookmarkEnd w:id="15"/>
    </w:p>
    <w:p w14:paraId="17498DC8" w14:textId="5C40391E"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t>Woolworths clarifies its present execution in its Chairman and CEO Report. As of late, Woolworths inclined up interest in impalpable resources. That is, Woolworths has propelled online stages to develop income</w:t>
      </w:r>
      <w:r w:rsidR="003050F7">
        <w:rPr>
          <w:rFonts w:ascii="Times New Roman" w:hAnsi="Times New Roman" w:cs="Times New Roman"/>
          <w:sz w:val="24"/>
          <w:szCs w:val="24"/>
          <w:lang w:val="en-AU"/>
        </w:rPr>
        <w:t xml:space="preserve"> and has offered more than 45</w:t>
      </w:r>
      <w:r w:rsidRPr="002E5F86">
        <w:rPr>
          <w:rFonts w:ascii="Times New Roman" w:hAnsi="Times New Roman" w:cs="Times New Roman"/>
          <w:sz w:val="24"/>
          <w:szCs w:val="24"/>
          <w:lang w:val="en-AU"/>
        </w:rPr>
        <w:t>,000 items through its online store. There is a critical increment in the Woolworths' Car</w:t>
      </w:r>
      <w:r w:rsidR="002564C2" w:rsidRPr="002E5F86">
        <w:rPr>
          <w:rFonts w:ascii="Times New Roman" w:hAnsi="Times New Roman" w:cs="Times New Roman"/>
          <w:sz w:val="24"/>
          <w:szCs w:val="24"/>
          <w:lang w:val="en-AU"/>
        </w:rPr>
        <w:t>rying Amount of Software in 2012 – 2014</w:t>
      </w:r>
      <w:r w:rsidR="003050F7">
        <w:rPr>
          <w:rFonts w:ascii="Times New Roman" w:hAnsi="Times New Roman" w:cs="Times New Roman"/>
          <w:sz w:val="24"/>
          <w:szCs w:val="24"/>
          <w:lang w:val="en-AU"/>
        </w:rPr>
        <w:t xml:space="preserve">. </w:t>
      </w:r>
      <w:r w:rsidRPr="002E5F86">
        <w:rPr>
          <w:rFonts w:ascii="Times New Roman" w:hAnsi="Times New Roman" w:cs="Times New Roman"/>
          <w:sz w:val="24"/>
          <w:szCs w:val="24"/>
          <w:lang w:val="en-AU"/>
        </w:rPr>
        <w:t xml:space="preserve">Money related explanations have been readied as per Australian Accounting Standards, and Interpretations issued by Australian Accounting Standards Board and the Corporations Act. The merged budgetary explanations likewise follow International Financial Reporting Standards (IFRS) as issued by the International Accounting Standards Board (IASB). </w:t>
      </w:r>
    </w:p>
    <w:p w14:paraId="51E4CAFC" w14:textId="2AC337FC" w:rsidR="00BB370D" w:rsidRPr="002E5F86" w:rsidRDefault="00BB370D" w:rsidP="00652892">
      <w:pPr>
        <w:spacing w:line="600" w:lineRule="auto"/>
        <w:jc w:val="both"/>
        <w:rPr>
          <w:rFonts w:ascii="Times New Roman" w:hAnsi="Times New Roman" w:cs="Times New Roman"/>
          <w:sz w:val="24"/>
          <w:szCs w:val="24"/>
          <w:lang w:val="en-AU"/>
        </w:rPr>
      </w:pPr>
      <w:r w:rsidRPr="002E5F86">
        <w:rPr>
          <w:rFonts w:ascii="Times New Roman" w:hAnsi="Times New Roman" w:cs="Times New Roman"/>
          <w:sz w:val="24"/>
          <w:szCs w:val="24"/>
          <w:lang w:val="en-AU"/>
        </w:rPr>
        <w:lastRenderedPageBreak/>
        <w:t xml:space="preserve">In similarity with bookkeeping measures, the Critical bookkeeping evaluations and judgements have been uncovered in Note 3. The Reports have given most data about the execution of Woolworths and Subsidiaries, which is important to present to the general population. At last, the qualified review feeling is shaped and the monetary explanations have been examined by </w:t>
      </w:r>
      <w:proofErr w:type="spellStart"/>
      <w:r w:rsidR="00F876F3" w:rsidRPr="002E5F86">
        <w:rPr>
          <w:rFonts w:ascii="Times New Roman" w:hAnsi="Times New Roman" w:cs="Times New Roman"/>
          <w:sz w:val="24"/>
          <w:szCs w:val="24"/>
          <w:lang w:val="en-AU"/>
        </w:rPr>
        <w:t>Deloitee</w:t>
      </w:r>
      <w:proofErr w:type="spellEnd"/>
      <w:r w:rsidR="00F876F3" w:rsidRPr="002E5F86">
        <w:rPr>
          <w:rFonts w:ascii="Times New Roman" w:hAnsi="Times New Roman" w:cs="Times New Roman"/>
          <w:sz w:val="24"/>
          <w:szCs w:val="24"/>
          <w:lang w:val="en-AU"/>
        </w:rPr>
        <w:t xml:space="preserve"> </w:t>
      </w:r>
      <w:r w:rsidR="008A1767" w:rsidRPr="002E5F86">
        <w:rPr>
          <w:rFonts w:ascii="Times New Roman" w:hAnsi="Times New Roman" w:cs="Times New Roman"/>
          <w:sz w:val="24"/>
          <w:szCs w:val="24"/>
          <w:lang w:val="en-AU"/>
        </w:rPr>
        <w:t xml:space="preserve">Australia, one of the big accounting firm. </w:t>
      </w:r>
      <w:r w:rsidRPr="002E5F86">
        <w:rPr>
          <w:rFonts w:ascii="Times New Roman" w:hAnsi="Times New Roman" w:cs="Times New Roman"/>
          <w:sz w:val="24"/>
          <w:szCs w:val="24"/>
          <w:lang w:val="en-AU"/>
        </w:rPr>
        <w:t xml:space="preserve"> </w:t>
      </w:r>
      <w:r w:rsidR="008A1767" w:rsidRPr="002E5F86">
        <w:rPr>
          <w:rFonts w:ascii="Times New Roman" w:hAnsi="Times New Roman" w:cs="Times New Roman"/>
          <w:sz w:val="24"/>
          <w:szCs w:val="24"/>
          <w:lang w:val="en-AU"/>
        </w:rPr>
        <w:t xml:space="preserve"> </w:t>
      </w:r>
    </w:p>
    <w:p w14:paraId="056A414D" w14:textId="77777777" w:rsidR="00AF5814" w:rsidRPr="002E5F86" w:rsidRDefault="00AF5814" w:rsidP="00652892">
      <w:pPr>
        <w:pStyle w:val="Heading2"/>
        <w:spacing w:line="600" w:lineRule="auto"/>
        <w:jc w:val="both"/>
        <w:rPr>
          <w:rFonts w:ascii="Times New Roman" w:hAnsi="Times New Roman" w:cs="Times New Roman"/>
          <w:sz w:val="24"/>
          <w:szCs w:val="24"/>
          <w:lang w:val="en-AU"/>
        </w:rPr>
      </w:pPr>
      <w:bookmarkStart w:id="16" w:name="_Toc429322214"/>
      <w:r w:rsidRPr="002E5F86">
        <w:rPr>
          <w:rFonts w:ascii="Times New Roman" w:hAnsi="Times New Roman" w:cs="Times New Roman"/>
          <w:sz w:val="24"/>
          <w:szCs w:val="24"/>
          <w:lang w:val="en-AU"/>
        </w:rPr>
        <w:t>5. Potential Red Flags</w:t>
      </w:r>
      <w:bookmarkEnd w:id="16"/>
    </w:p>
    <w:p w14:paraId="446C1262" w14:textId="6F553B11" w:rsidR="00D5605E" w:rsidRPr="002E5F86" w:rsidRDefault="00BB370D" w:rsidP="00652892">
      <w:pPr>
        <w:spacing w:after="60" w:line="600" w:lineRule="auto"/>
        <w:jc w:val="both"/>
        <w:rPr>
          <w:rFonts w:ascii="Times New Roman" w:hAnsi="Times New Roman" w:cs="Times New Roman"/>
          <w:sz w:val="24"/>
          <w:szCs w:val="24"/>
        </w:rPr>
      </w:pPr>
      <w:r w:rsidRPr="002E5F86">
        <w:rPr>
          <w:rFonts w:ascii="Times New Roman" w:hAnsi="Times New Roman" w:cs="Times New Roman"/>
          <w:sz w:val="24"/>
          <w:szCs w:val="24"/>
        </w:rPr>
        <w:t>Generally speak</w:t>
      </w:r>
      <w:r w:rsidR="00AB5C6D">
        <w:rPr>
          <w:rFonts w:ascii="Times New Roman" w:hAnsi="Times New Roman" w:cs="Times New Roman"/>
          <w:sz w:val="24"/>
          <w:szCs w:val="24"/>
        </w:rPr>
        <w:t>ing, the data given</w:t>
      </w:r>
      <w:r w:rsidRPr="002E5F86">
        <w:rPr>
          <w:rFonts w:ascii="Times New Roman" w:hAnsi="Times New Roman" w:cs="Times New Roman"/>
          <w:sz w:val="24"/>
          <w:szCs w:val="24"/>
        </w:rPr>
        <w:t xml:space="preserve"> in the yearly reports appear to be extremely straightforward, there are some potential bookkeeping bends in the budgetary explanations. Some d</w:t>
      </w:r>
      <w:r w:rsidR="002E5F86" w:rsidRPr="002E5F86">
        <w:rPr>
          <w:rFonts w:ascii="Times New Roman" w:hAnsi="Times New Roman" w:cs="Times New Roman"/>
          <w:sz w:val="24"/>
          <w:szCs w:val="24"/>
        </w:rPr>
        <w:t>istinction in numbers, year 2013</w:t>
      </w:r>
      <w:r w:rsidRPr="002E5F86">
        <w:rPr>
          <w:rFonts w:ascii="Times New Roman" w:hAnsi="Times New Roman" w:cs="Times New Roman"/>
          <w:sz w:val="24"/>
          <w:szCs w:val="24"/>
        </w:rPr>
        <w:t>'s account income and money expens</w:t>
      </w:r>
      <w:r w:rsidR="002E5F86" w:rsidRPr="002E5F86">
        <w:rPr>
          <w:rFonts w:ascii="Times New Roman" w:hAnsi="Times New Roman" w:cs="Times New Roman"/>
          <w:sz w:val="24"/>
          <w:szCs w:val="24"/>
        </w:rPr>
        <w:t>e reported in yearly report 2014</w:t>
      </w:r>
      <w:r w:rsidRPr="002E5F86">
        <w:rPr>
          <w:rFonts w:ascii="Times New Roman" w:hAnsi="Times New Roman" w:cs="Times New Roman"/>
          <w:sz w:val="24"/>
          <w:szCs w:val="24"/>
        </w:rPr>
        <w:t xml:space="preserve"> is not the same</w:t>
      </w:r>
      <w:r w:rsidR="002E5F86" w:rsidRPr="002E5F86">
        <w:rPr>
          <w:rFonts w:ascii="Times New Roman" w:hAnsi="Times New Roman" w:cs="Times New Roman"/>
          <w:sz w:val="24"/>
          <w:szCs w:val="24"/>
        </w:rPr>
        <w:t xml:space="preserve"> as the numbers reported in 2013</w:t>
      </w:r>
      <w:r w:rsidRPr="002E5F86">
        <w:rPr>
          <w:rFonts w:ascii="Times New Roman" w:hAnsi="Times New Roman" w:cs="Times New Roman"/>
          <w:sz w:val="24"/>
          <w:szCs w:val="24"/>
        </w:rPr>
        <w:t xml:space="preserve"> yearly report. </w:t>
      </w:r>
      <w:r w:rsidR="002E5F86" w:rsidRPr="002E5F86">
        <w:rPr>
          <w:rFonts w:ascii="Times New Roman" w:hAnsi="Times New Roman" w:cs="Times New Roman"/>
          <w:sz w:val="24"/>
          <w:szCs w:val="24"/>
        </w:rPr>
        <w:t>This may be due to restatement of the figures.</w:t>
      </w:r>
      <w:r w:rsidRPr="002E5F86">
        <w:rPr>
          <w:rFonts w:ascii="Times New Roman" w:hAnsi="Times New Roman" w:cs="Times New Roman"/>
          <w:sz w:val="24"/>
          <w:szCs w:val="24"/>
        </w:rPr>
        <w:t xml:space="preserve"> In spite of the fact that it could be considered as a writing lapse, it could conceivably influence the danger investigation of the organization. There is no clarification gave in the monetary articulations.</w:t>
      </w:r>
    </w:p>
    <w:p w14:paraId="2E87D0A2" w14:textId="77777777" w:rsidR="00F6774E" w:rsidRPr="002E5F86" w:rsidRDefault="00F6774E" w:rsidP="00652892">
      <w:pPr>
        <w:pStyle w:val="Heading1"/>
        <w:spacing w:line="600" w:lineRule="auto"/>
        <w:jc w:val="both"/>
        <w:rPr>
          <w:rFonts w:ascii="Times New Roman" w:hAnsi="Times New Roman" w:cs="Times New Roman"/>
          <w:sz w:val="24"/>
          <w:szCs w:val="24"/>
        </w:rPr>
      </w:pPr>
      <w:bookmarkStart w:id="17" w:name="_Toc429322215"/>
      <w:r w:rsidRPr="002E5F86">
        <w:rPr>
          <w:rFonts w:ascii="Times New Roman" w:hAnsi="Times New Roman" w:cs="Times New Roman"/>
          <w:sz w:val="24"/>
          <w:szCs w:val="24"/>
        </w:rPr>
        <w:t>Financial Analysis</w:t>
      </w:r>
      <w:bookmarkEnd w:id="17"/>
    </w:p>
    <w:p w14:paraId="63F8EA2D" w14:textId="37EE7542" w:rsidR="00BB370D" w:rsidRPr="002E5F86" w:rsidRDefault="00BB370D" w:rsidP="00652892">
      <w:pPr>
        <w:spacing w:line="600" w:lineRule="auto"/>
        <w:jc w:val="both"/>
        <w:rPr>
          <w:rFonts w:ascii="Times New Roman" w:hAnsi="Times New Roman" w:cs="Times New Roman"/>
          <w:sz w:val="24"/>
          <w:szCs w:val="24"/>
          <w:lang w:val="en-US"/>
        </w:rPr>
      </w:pPr>
      <w:r w:rsidRPr="002E5F86">
        <w:rPr>
          <w:rFonts w:ascii="Times New Roman" w:hAnsi="Times New Roman" w:cs="Times New Roman"/>
          <w:sz w:val="24"/>
          <w:szCs w:val="24"/>
          <w:lang w:val="en-US"/>
        </w:rPr>
        <w:t>The budgetary investigation is of extraordinary significance for partners to create a comprehensive perspective towards Woolworths' execution taking into account verifiable information. Of this segment, both proportion investigation and income examination will be led</w:t>
      </w:r>
      <w:sdt>
        <w:sdtPr>
          <w:rPr>
            <w:rFonts w:ascii="Times New Roman" w:hAnsi="Times New Roman" w:cs="Times New Roman"/>
            <w:sz w:val="24"/>
            <w:szCs w:val="24"/>
            <w:lang w:val="en-US"/>
          </w:rPr>
          <w:id w:val="845905001"/>
          <w:citation/>
        </w:sdtPr>
        <w:sdtEndPr/>
        <w:sdtContent>
          <w:r w:rsidR="00AB5C6D">
            <w:rPr>
              <w:rFonts w:ascii="Times New Roman" w:hAnsi="Times New Roman" w:cs="Times New Roman"/>
              <w:sz w:val="24"/>
              <w:szCs w:val="24"/>
              <w:lang w:val="en-US"/>
            </w:rPr>
            <w:fldChar w:fldCharType="begin"/>
          </w:r>
          <w:r w:rsidR="00AB5C6D">
            <w:rPr>
              <w:rFonts w:ascii="Times New Roman" w:hAnsi="Times New Roman" w:cs="Times New Roman"/>
              <w:sz w:val="24"/>
              <w:szCs w:val="24"/>
              <w:lang w:val="en-US"/>
            </w:rPr>
            <w:instrText xml:space="preserve"> CITATION Pet13 \l 1033 </w:instrText>
          </w:r>
          <w:r w:rsidR="00AB5C6D">
            <w:rPr>
              <w:rFonts w:ascii="Times New Roman" w:hAnsi="Times New Roman" w:cs="Times New Roman"/>
              <w:sz w:val="24"/>
              <w:szCs w:val="24"/>
              <w:lang w:val="en-US"/>
            </w:rPr>
            <w:fldChar w:fldCharType="separate"/>
          </w:r>
          <w:r w:rsidR="00AB5C6D">
            <w:rPr>
              <w:rFonts w:ascii="Times New Roman" w:hAnsi="Times New Roman" w:cs="Times New Roman"/>
              <w:noProof/>
              <w:sz w:val="24"/>
              <w:szCs w:val="24"/>
              <w:lang w:val="en-US"/>
            </w:rPr>
            <w:t xml:space="preserve"> </w:t>
          </w:r>
          <w:r w:rsidR="00AB5C6D" w:rsidRPr="00AB5C6D">
            <w:rPr>
              <w:rFonts w:ascii="Times New Roman" w:hAnsi="Times New Roman" w:cs="Times New Roman"/>
              <w:noProof/>
              <w:sz w:val="24"/>
              <w:szCs w:val="24"/>
              <w:lang w:val="en-US"/>
            </w:rPr>
            <w:t>(Petty, et al., 2013)</w:t>
          </w:r>
          <w:r w:rsidR="00AB5C6D">
            <w:rPr>
              <w:rFonts w:ascii="Times New Roman" w:hAnsi="Times New Roman" w:cs="Times New Roman"/>
              <w:sz w:val="24"/>
              <w:szCs w:val="24"/>
              <w:lang w:val="en-US"/>
            </w:rPr>
            <w:fldChar w:fldCharType="end"/>
          </w:r>
        </w:sdtContent>
      </w:sdt>
      <w:r w:rsidRPr="002E5F86">
        <w:rPr>
          <w:rFonts w:ascii="Times New Roman" w:hAnsi="Times New Roman" w:cs="Times New Roman"/>
          <w:sz w:val="24"/>
          <w:szCs w:val="24"/>
          <w:lang w:val="en-US"/>
        </w:rPr>
        <w:t xml:space="preserve">. In the interim, with a specific end goal to comprehend the fundamental </w:t>
      </w:r>
      <w:r w:rsidRPr="002E5F86">
        <w:rPr>
          <w:rFonts w:ascii="Times New Roman" w:hAnsi="Times New Roman" w:cs="Times New Roman"/>
          <w:sz w:val="24"/>
          <w:szCs w:val="24"/>
          <w:lang w:val="en-US"/>
        </w:rPr>
        <w:lastRenderedPageBreak/>
        <w:t>reality of the substance, reformatted monetary record and reformatted salary explanation will be</w:t>
      </w:r>
      <w:r w:rsidR="002E5F86" w:rsidRPr="002E5F86">
        <w:rPr>
          <w:rFonts w:ascii="Times New Roman" w:hAnsi="Times New Roman" w:cs="Times New Roman"/>
          <w:sz w:val="24"/>
          <w:szCs w:val="24"/>
          <w:lang w:val="en-US"/>
        </w:rPr>
        <w:t xml:space="preserve"> arranged for the 4-year period from 2012-2015</w:t>
      </w:r>
      <w:r w:rsidRPr="002E5F86">
        <w:rPr>
          <w:rFonts w:ascii="Times New Roman" w:hAnsi="Times New Roman" w:cs="Times New Roman"/>
          <w:sz w:val="24"/>
          <w:szCs w:val="24"/>
          <w:lang w:val="en-US"/>
        </w:rPr>
        <w:t xml:space="preserve"> (Appendix 1 &amp; Appendix 2).</w:t>
      </w:r>
    </w:p>
    <w:p w14:paraId="75320384" w14:textId="77777777" w:rsidR="00F6774E" w:rsidRPr="002E5F86" w:rsidRDefault="00F6774E" w:rsidP="00652892">
      <w:pPr>
        <w:pStyle w:val="Heading2"/>
        <w:spacing w:line="600" w:lineRule="auto"/>
        <w:jc w:val="both"/>
        <w:rPr>
          <w:rFonts w:ascii="Times New Roman" w:hAnsi="Times New Roman" w:cs="Times New Roman"/>
          <w:b w:val="0"/>
          <w:sz w:val="24"/>
          <w:szCs w:val="24"/>
        </w:rPr>
      </w:pPr>
      <w:bookmarkStart w:id="18" w:name="_Toc429322216"/>
      <w:r w:rsidRPr="002E5F86">
        <w:rPr>
          <w:rFonts w:ascii="Times New Roman" w:hAnsi="Times New Roman" w:cs="Times New Roman"/>
          <w:sz w:val="24"/>
          <w:szCs w:val="24"/>
        </w:rPr>
        <w:t>Ratio Analysis (Appendix 3)</w:t>
      </w:r>
      <w:bookmarkEnd w:id="18"/>
    </w:p>
    <w:p w14:paraId="29758947" w14:textId="77777777" w:rsidR="00BB370D" w:rsidRPr="002E5F86" w:rsidRDefault="00BB370D" w:rsidP="00652892">
      <w:pPr>
        <w:spacing w:after="60" w:line="600" w:lineRule="auto"/>
        <w:jc w:val="both"/>
        <w:rPr>
          <w:rFonts w:ascii="Times New Roman" w:hAnsi="Times New Roman" w:cs="Times New Roman"/>
          <w:bCs/>
          <w:sz w:val="24"/>
          <w:szCs w:val="24"/>
        </w:rPr>
      </w:pPr>
      <w:r w:rsidRPr="002E5F86">
        <w:rPr>
          <w:rFonts w:ascii="Times New Roman" w:hAnsi="Times New Roman" w:cs="Times New Roman"/>
          <w:bCs/>
          <w:sz w:val="24"/>
          <w:szCs w:val="24"/>
        </w:rPr>
        <w:t xml:space="preserve">Firms' similar to Woolworths makes esteem when return produced is greater than expense of capital. Financing exercises of a firm don't make any of worth though working exercises make esteem. Subsequently Woolworths' money related proclamation ought to be reformatted with a specific end goal to </w:t>
      </w:r>
      <w:proofErr w:type="spellStart"/>
      <w:r w:rsidRPr="002E5F86">
        <w:rPr>
          <w:rFonts w:ascii="Times New Roman" w:hAnsi="Times New Roman" w:cs="Times New Roman"/>
          <w:bCs/>
          <w:sz w:val="24"/>
          <w:szCs w:val="24"/>
        </w:rPr>
        <w:t>seperate</w:t>
      </w:r>
      <w:proofErr w:type="spellEnd"/>
      <w:r w:rsidRPr="002E5F86">
        <w:rPr>
          <w:rFonts w:ascii="Times New Roman" w:hAnsi="Times New Roman" w:cs="Times New Roman"/>
          <w:bCs/>
          <w:sz w:val="24"/>
          <w:szCs w:val="24"/>
        </w:rPr>
        <w:t xml:space="preserve"> working exercises that make esteem from financing </w:t>
      </w:r>
      <w:proofErr w:type="spellStart"/>
      <w:r w:rsidRPr="002E5F86">
        <w:rPr>
          <w:rFonts w:ascii="Times New Roman" w:hAnsi="Times New Roman" w:cs="Times New Roman"/>
          <w:bCs/>
          <w:sz w:val="24"/>
          <w:szCs w:val="24"/>
        </w:rPr>
        <w:t>activites</w:t>
      </w:r>
      <w:proofErr w:type="spellEnd"/>
      <w:r w:rsidRPr="002E5F86">
        <w:rPr>
          <w:rFonts w:ascii="Times New Roman" w:hAnsi="Times New Roman" w:cs="Times New Roman"/>
          <w:bCs/>
          <w:sz w:val="24"/>
          <w:szCs w:val="24"/>
        </w:rPr>
        <w:t xml:space="preserve"> that neither make nor lose esteem </w:t>
      </w:r>
    </w:p>
    <w:p w14:paraId="1D203A8B" w14:textId="77777777" w:rsidR="00BB370D" w:rsidRPr="002E5F86" w:rsidRDefault="00BB370D" w:rsidP="00652892">
      <w:pPr>
        <w:spacing w:after="60" w:line="600" w:lineRule="auto"/>
        <w:jc w:val="both"/>
        <w:rPr>
          <w:rFonts w:ascii="Times New Roman" w:hAnsi="Times New Roman" w:cs="Times New Roman"/>
          <w:bCs/>
          <w:sz w:val="24"/>
          <w:szCs w:val="24"/>
        </w:rPr>
      </w:pPr>
    </w:p>
    <w:p w14:paraId="7872A07D" w14:textId="77777777" w:rsidR="00BB370D" w:rsidRPr="002E5F86" w:rsidRDefault="00BB370D" w:rsidP="00652892">
      <w:pPr>
        <w:pStyle w:val="Heading3"/>
        <w:spacing w:line="600" w:lineRule="auto"/>
        <w:rPr>
          <w:rFonts w:ascii="Times New Roman" w:hAnsi="Times New Roman" w:cs="Times New Roman"/>
        </w:rPr>
      </w:pPr>
      <w:bookmarkStart w:id="19" w:name="_Toc429322217"/>
      <w:r w:rsidRPr="002E5F86">
        <w:rPr>
          <w:rFonts w:ascii="Times New Roman" w:hAnsi="Times New Roman" w:cs="Times New Roman"/>
        </w:rPr>
        <w:t>Return on Equity (ROE) (Appendix 4)</w:t>
      </w:r>
      <w:bookmarkEnd w:id="19"/>
      <w:r w:rsidRPr="002E5F86">
        <w:rPr>
          <w:rFonts w:ascii="Times New Roman" w:hAnsi="Times New Roman" w:cs="Times New Roman"/>
        </w:rPr>
        <w:t xml:space="preserve"> </w:t>
      </w:r>
    </w:p>
    <w:p w14:paraId="6083CBE0" w14:textId="77777777" w:rsidR="00BB370D" w:rsidRPr="002E5F86" w:rsidRDefault="00BB370D" w:rsidP="00652892">
      <w:pPr>
        <w:spacing w:after="60" w:line="600" w:lineRule="auto"/>
        <w:jc w:val="both"/>
        <w:rPr>
          <w:rFonts w:ascii="Times New Roman" w:hAnsi="Times New Roman" w:cs="Times New Roman"/>
          <w:bCs/>
          <w:sz w:val="24"/>
          <w:szCs w:val="24"/>
        </w:rPr>
      </w:pPr>
    </w:p>
    <w:p w14:paraId="3B3142F1" w14:textId="37C72632" w:rsidR="00BB370D" w:rsidRPr="002E5F86" w:rsidRDefault="00BB370D" w:rsidP="00652892">
      <w:pPr>
        <w:spacing w:after="60" w:line="600" w:lineRule="auto"/>
        <w:jc w:val="both"/>
        <w:rPr>
          <w:rFonts w:ascii="Times New Roman" w:hAnsi="Times New Roman" w:cs="Times New Roman"/>
          <w:bCs/>
          <w:sz w:val="24"/>
          <w:szCs w:val="24"/>
        </w:rPr>
      </w:pPr>
      <w:r w:rsidRPr="002E5F86">
        <w:rPr>
          <w:rFonts w:ascii="Times New Roman" w:hAnsi="Times New Roman" w:cs="Times New Roman"/>
          <w:bCs/>
          <w:sz w:val="24"/>
          <w:szCs w:val="24"/>
        </w:rPr>
        <w:t>ROE is the vital proportion to assess an organization's benefit and to see the amount of benefits could be produced from shareholders' venture. The ROE of Woolworths p</w:t>
      </w:r>
      <w:r w:rsidR="009061B7" w:rsidRPr="002E5F86">
        <w:rPr>
          <w:rFonts w:ascii="Times New Roman" w:hAnsi="Times New Roman" w:cs="Times New Roman"/>
          <w:bCs/>
          <w:sz w:val="24"/>
          <w:szCs w:val="24"/>
        </w:rPr>
        <w:t>ersistently diminishes for the 4-year period, from 7</w:t>
      </w:r>
      <w:r w:rsidRPr="002E5F86">
        <w:rPr>
          <w:rFonts w:ascii="Times New Roman" w:hAnsi="Times New Roman" w:cs="Times New Roman"/>
          <w:bCs/>
          <w:sz w:val="24"/>
          <w:szCs w:val="24"/>
        </w:rPr>
        <w:t>8</w:t>
      </w:r>
      <w:r w:rsidR="009061B7" w:rsidRPr="002E5F86">
        <w:rPr>
          <w:rFonts w:ascii="Times New Roman" w:hAnsi="Times New Roman" w:cs="Times New Roman"/>
          <w:bCs/>
          <w:sz w:val="24"/>
          <w:szCs w:val="24"/>
        </w:rPr>
        <w:t>.28% in the year 2013 to 48.59% in the year 2015</w:t>
      </w:r>
      <w:r w:rsidRPr="002E5F86">
        <w:rPr>
          <w:rFonts w:ascii="Times New Roman" w:hAnsi="Times New Roman" w:cs="Times New Roman"/>
          <w:bCs/>
          <w:sz w:val="24"/>
          <w:szCs w:val="24"/>
        </w:rPr>
        <w:t xml:space="preserve">. This has come about because of </w:t>
      </w:r>
      <w:proofErr w:type="spellStart"/>
      <w:r w:rsidRPr="002E5F86">
        <w:rPr>
          <w:rFonts w:ascii="Times New Roman" w:hAnsi="Times New Roman" w:cs="Times New Roman"/>
          <w:bCs/>
          <w:sz w:val="24"/>
          <w:szCs w:val="24"/>
        </w:rPr>
        <w:t>non specific</w:t>
      </w:r>
      <w:proofErr w:type="spellEnd"/>
      <w:r w:rsidRPr="002E5F86">
        <w:rPr>
          <w:rFonts w:ascii="Times New Roman" w:hAnsi="Times New Roman" w:cs="Times New Roman"/>
          <w:bCs/>
          <w:sz w:val="24"/>
          <w:szCs w:val="24"/>
        </w:rPr>
        <w:t xml:space="preserve"> financial reason and additionally Woolworths' encompassing surroundings of retail ch</w:t>
      </w:r>
      <w:r w:rsidR="006958E3" w:rsidRPr="002E5F86">
        <w:rPr>
          <w:rFonts w:ascii="Times New Roman" w:hAnsi="Times New Roman" w:cs="Times New Roman"/>
          <w:bCs/>
          <w:sz w:val="24"/>
          <w:szCs w:val="24"/>
        </w:rPr>
        <w:t>ain industry. Because of recovery</w:t>
      </w:r>
      <w:r w:rsidRPr="002E5F86">
        <w:rPr>
          <w:rFonts w:ascii="Times New Roman" w:hAnsi="Times New Roman" w:cs="Times New Roman"/>
          <w:bCs/>
          <w:sz w:val="24"/>
          <w:szCs w:val="24"/>
        </w:rPr>
        <w:t xml:space="preserve"> in economy after GFC and the diminished vocation rate have forced antagonistic effects on Woolworths and the business. </w:t>
      </w:r>
      <w:proofErr w:type="spellStart"/>
      <w:r w:rsidRPr="002E5F86">
        <w:rPr>
          <w:rFonts w:ascii="Times New Roman" w:hAnsi="Times New Roman" w:cs="Times New Roman"/>
          <w:bCs/>
          <w:sz w:val="24"/>
          <w:szCs w:val="24"/>
        </w:rPr>
        <w:t>Consumeres</w:t>
      </w:r>
      <w:proofErr w:type="spellEnd"/>
      <w:r w:rsidRPr="002E5F86">
        <w:rPr>
          <w:rFonts w:ascii="Times New Roman" w:hAnsi="Times New Roman" w:cs="Times New Roman"/>
          <w:bCs/>
          <w:sz w:val="24"/>
          <w:szCs w:val="24"/>
        </w:rPr>
        <w:t xml:space="preserve">' certainty has been disabled and, in this manner have less capacity and readiness to buy, which is even extreme for up-business retail chain like Woolworths. In addition, unfaltering reduction in Woolworths' RNOA came about because of expansion in NOPAT and </w:t>
      </w:r>
      <w:r w:rsidRPr="002E5F86">
        <w:rPr>
          <w:rFonts w:ascii="Times New Roman" w:hAnsi="Times New Roman" w:cs="Times New Roman"/>
          <w:bCs/>
          <w:sz w:val="24"/>
          <w:szCs w:val="24"/>
        </w:rPr>
        <w:lastRenderedPageBreak/>
        <w:t xml:space="preserve">lessening in NOA means benefit has been brought down however spending on net resource used to create return has been expanded however. On the off chance that it keeps on </w:t>
      </w:r>
      <w:proofErr w:type="spellStart"/>
      <w:r w:rsidRPr="002E5F86">
        <w:rPr>
          <w:rFonts w:ascii="Times New Roman" w:hAnsi="Times New Roman" w:cs="Times New Roman"/>
          <w:bCs/>
          <w:sz w:val="24"/>
          <w:szCs w:val="24"/>
        </w:rPr>
        <w:t>happenning</w:t>
      </w:r>
      <w:proofErr w:type="spellEnd"/>
      <w:r w:rsidRPr="002E5F86">
        <w:rPr>
          <w:rFonts w:ascii="Times New Roman" w:hAnsi="Times New Roman" w:cs="Times New Roman"/>
          <w:bCs/>
          <w:sz w:val="24"/>
          <w:szCs w:val="24"/>
        </w:rPr>
        <w:t xml:space="preserve">, shareholders may consider pulling back their interest in Woolworths, which may place Woolworths into monetary </w:t>
      </w:r>
      <w:proofErr w:type="spellStart"/>
      <w:r w:rsidRPr="002E5F86">
        <w:rPr>
          <w:rFonts w:ascii="Times New Roman" w:hAnsi="Times New Roman" w:cs="Times New Roman"/>
          <w:bCs/>
          <w:sz w:val="24"/>
          <w:szCs w:val="24"/>
        </w:rPr>
        <w:t>difficutly</w:t>
      </w:r>
      <w:proofErr w:type="spellEnd"/>
      <w:r w:rsidRPr="002E5F86">
        <w:rPr>
          <w:rFonts w:ascii="Times New Roman" w:hAnsi="Times New Roman" w:cs="Times New Roman"/>
          <w:bCs/>
          <w:sz w:val="24"/>
          <w:szCs w:val="24"/>
        </w:rPr>
        <w:t xml:space="preserve">. </w:t>
      </w:r>
    </w:p>
    <w:p w14:paraId="6BE1E6F9" w14:textId="77777777" w:rsidR="00BB370D" w:rsidRPr="002E5F86" w:rsidRDefault="00BB370D" w:rsidP="00652892">
      <w:pPr>
        <w:spacing w:after="60" w:line="600" w:lineRule="auto"/>
        <w:jc w:val="both"/>
        <w:rPr>
          <w:rFonts w:ascii="Times New Roman" w:hAnsi="Times New Roman" w:cs="Times New Roman"/>
          <w:bCs/>
          <w:sz w:val="24"/>
          <w:szCs w:val="24"/>
        </w:rPr>
      </w:pPr>
    </w:p>
    <w:p w14:paraId="5466CCFA" w14:textId="77777777" w:rsidR="00BB370D" w:rsidRPr="002E5F86" w:rsidRDefault="00BB370D" w:rsidP="00652892">
      <w:pPr>
        <w:pStyle w:val="Heading3"/>
        <w:spacing w:line="600" w:lineRule="auto"/>
        <w:rPr>
          <w:rFonts w:ascii="Times New Roman" w:hAnsi="Times New Roman" w:cs="Times New Roman"/>
        </w:rPr>
      </w:pPr>
      <w:bookmarkStart w:id="20" w:name="_Toc429322218"/>
      <w:r w:rsidRPr="002E5F86">
        <w:rPr>
          <w:rFonts w:ascii="Times New Roman" w:hAnsi="Times New Roman" w:cs="Times New Roman"/>
        </w:rPr>
        <w:t>Net revenue (PM) (Appendix 5)</w:t>
      </w:r>
      <w:bookmarkEnd w:id="20"/>
      <w:r w:rsidRPr="002E5F86">
        <w:rPr>
          <w:rFonts w:ascii="Times New Roman" w:hAnsi="Times New Roman" w:cs="Times New Roman"/>
        </w:rPr>
        <w:t xml:space="preserve"> </w:t>
      </w:r>
    </w:p>
    <w:p w14:paraId="06D269AB" w14:textId="77777777" w:rsidR="00BB370D" w:rsidRPr="002E5F86" w:rsidRDefault="00BB370D" w:rsidP="00652892">
      <w:pPr>
        <w:spacing w:after="60" w:line="600" w:lineRule="auto"/>
        <w:jc w:val="both"/>
        <w:rPr>
          <w:rFonts w:ascii="Times New Roman" w:hAnsi="Times New Roman" w:cs="Times New Roman"/>
          <w:bCs/>
          <w:sz w:val="24"/>
          <w:szCs w:val="24"/>
        </w:rPr>
      </w:pPr>
    </w:p>
    <w:p w14:paraId="512C663D" w14:textId="04767088" w:rsidR="00BB370D" w:rsidRPr="002E5F86" w:rsidRDefault="00BB370D" w:rsidP="00652892">
      <w:pPr>
        <w:spacing w:after="60" w:line="600" w:lineRule="auto"/>
        <w:jc w:val="both"/>
        <w:rPr>
          <w:rFonts w:ascii="Times New Roman" w:hAnsi="Times New Roman" w:cs="Times New Roman"/>
          <w:bCs/>
          <w:sz w:val="24"/>
          <w:szCs w:val="24"/>
        </w:rPr>
      </w:pPr>
      <w:r w:rsidRPr="002E5F86">
        <w:rPr>
          <w:rFonts w:ascii="Times New Roman" w:hAnsi="Times New Roman" w:cs="Times New Roman"/>
          <w:bCs/>
          <w:sz w:val="24"/>
          <w:szCs w:val="24"/>
        </w:rPr>
        <w:t xml:space="preserve">The PM mirrors the benefit of an organization, and uncovering the valuing systems of an organization in the interim. Amid the previous 5-year period, Woolworths' PM experiences a </w:t>
      </w:r>
      <w:r w:rsidR="006958E3" w:rsidRPr="002E5F86">
        <w:rPr>
          <w:rFonts w:ascii="Times New Roman" w:hAnsi="Times New Roman" w:cs="Times New Roman"/>
          <w:bCs/>
          <w:sz w:val="24"/>
          <w:szCs w:val="24"/>
        </w:rPr>
        <w:t>mixed movement in profit margin as it was 4.94% in the year 2013, which declined to 4.55% in the 2014 and recovered back to 4.70% in the year 2015</w:t>
      </w:r>
      <w:r w:rsidRPr="002E5F86">
        <w:rPr>
          <w:rFonts w:ascii="Times New Roman" w:hAnsi="Times New Roman" w:cs="Times New Roman"/>
          <w:bCs/>
          <w:sz w:val="24"/>
          <w:szCs w:val="24"/>
        </w:rPr>
        <w:t xml:space="preserve">. Since Woolworths experiences overwhelming offering and organization costs, the organization's </w:t>
      </w:r>
      <w:proofErr w:type="spellStart"/>
      <w:r w:rsidRPr="002E5F86">
        <w:rPr>
          <w:rFonts w:ascii="Times New Roman" w:hAnsi="Times New Roman" w:cs="Times New Roman"/>
          <w:bCs/>
          <w:sz w:val="24"/>
          <w:szCs w:val="24"/>
        </w:rPr>
        <w:t>net working</w:t>
      </w:r>
      <w:proofErr w:type="spellEnd"/>
      <w:r w:rsidRPr="002E5F86">
        <w:rPr>
          <w:rFonts w:ascii="Times New Roman" w:hAnsi="Times New Roman" w:cs="Times New Roman"/>
          <w:bCs/>
          <w:sz w:val="24"/>
          <w:szCs w:val="24"/>
        </w:rPr>
        <w:t xml:space="preserve"> overall revenue is generally low. However Woolworths' late techniques used to enhance client administration, manufacture multi-channel conveyance, and reinforce the faithfulness project, further builds the offering and regulatory costs. With restricted increments in deals, the general PM of Woolworths has experienced devaluation therefore. Firms like Woolworths is near differentiator that produce come back from high overall revenue instead of bringing down expense and, in this way diminished value diminishes minor benefit that Woolworths acquires. In this way increment in its variable cost and diminished deal value contribute diminish in PM of Woolworths </w:t>
      </w:r>
    </w:p>
    <w:p w14:paraId="2F5B16F1" w14:textId="77777777" w:rsidR="00BB370D" w:rsidRPr="002E5F86" w:rsidRDefault="00BB370D" w:rsidP="00652892">
      <w:pPr>
        <w:spacing w:after="60" w:line="600" w:lineRule="auto"/>
        <w:jc w:val="both"/>
        <w:rPr>
          <w:rFonts w:ascii="Times New Roman" w:hAnsi="Times New Roman" w:cs="Times New Roman"/>
          <w:bCs/>
          <w:sz w:val="24"/>
          <w:szCs w:val="24"/>
        </w:rPr>
      </w:pPr>
    </w:p>
    <w:p w14:paraId="548BDACA" w14:textId="61461EDB" w:rsidR="00BB370D" w:rsidRPr="002E5F86" w:rsidRDefault="006958E3" w:rsidP="00652892">
      <w:pPr>
        <w:pStyle w:val="Heading3"/>
        <w:spacing w:line="600" w:lineRule="auto"/>
        <w:rPr>
          <w:rFonts w:ascii="Times New Roman" w:hAnsi="Times New Roman" w:cs="Times New Roman"/>
        </w:rPr>
      </w:pPr>
      <w:bookmarkStart w:id="21" w:name="_Toc429322219"/>
      <w:r w:rsidRPr="002E5F86">
        <w:rPr>
          <w:rFonts w:ascii="Times New Roman" w:hAnsi="Times New Roman" w:cs="Times New Roman"/>
        </w:rPr>
        <w:t>Assets Turnover Ratio</w:t>
      </w:r>
      <w:r w:rsidR="00BB370D" w:rsidRPr="002E5F86">
        <w:rPr>
          <w:rFonts w:ascii="Times New Roman" w:hAnsi="Times New Roman" w:cs="Times New Roman"/>
        </w:rPr>
        <w:t xml:space="preserve"> (Appendix 6)</w:t>
      </w:r>
      <w:bookmarkEnd w:id="21"/>
      <w:r w:rsidR="00BB370D" w:rsidRPr="002E5F86">
        <w:rPr>
          <w:rFonts w:ascii="Times New Roman" w:hAnsi="Times New Roman" w:cs="Times New Roman"/>
        </w:rPr>
        <w:t xml:space="preserve"> </w:t>
      </w:r>
    </w:p>
    <w:p w14:paraId="29DA3535" w14:textId="011D2914" w:rsidR="00BB370D" w:rsidRPr="002E5F86" w:rsidRDefault="00BB370D" w:rsidP="00652892">
      <w:pPr>
        <w:spacing w:after="60" w:line="600" w:lineRule="auto"/>
        <w:jc w:val="both"/>
        <w:rPr>
          <w:rFonts w:ascii="Times New Roman" w:hAnsi="Times New Roman" w:cs="Times New Roman"/>
          <w:bCs/>
          <w:sz w:val="24"/>
          <w:szCs w:val="24"/>
        </w:rPr>
      </w:pPr>
      <w:r w:rsidRPr="002E5F86">
        <w:rPr>
          <w:rFonts w:ascii="Times New Roman" w:hAnsi="Times New Roman" w:cs="Times New Roman"/>
          <w:bCs/>
          <w:sz w:val="24"/>
          <w:szCs w:val="24"/>
        </w:rPr>
        <w:t>Woolworths experienced a general les</w:t>
      </w:r>
      <w:r w:rsidR="00194D7D" w:rsidRPr="002E5F86">
        <w:rPr>
          <w:rFonts w:ascii="Times New Roman" w:hAnsi="Times New Roman" w:cs="Times New Roman"/>
          <w:bCs/>
          <w:sz w:val="24"/>
          <w:szCs w:val="24"/>
        </w:rPr>
        <w:t xml:space="preserve">sening of ATO from 2010 to 2014. The ATO was 7.61 in the year 2013 which declined to 6.75 in the year 2014, which further declined to 5.76 in the year 2014. </w:t>
      </w:r>
      <w:r w:rsidRPr="002E5F86">
        <w:rPr>
          <w:rFonts w:ascii="Times New Roman" w:hAnsi="Times New Roman" w:cs="Times New Roman"/>
          <w:bCs/>
          <w:sz w:val="24"/>
          <w:szCs w:val="24"/>
        </w:rPr>
        <w:t xml:space="preserve">In 2010, the ATO for Woolworths had been kept up at an abnormal state subsequent to the organization was of amazing deals execution for that money related, while the NOA of Woolworths in that specific year was generally low, and the </w:t>
      </w:r>
      <w:proofErr w:type="spellStart"/>
      <w:r w:rsidRPr="002E5F86">
        <w:rPr>
          <w:rFonts w:ascii="Times New Roman" w:hAnsi="Times New Roman" w:cs="Times New Roman"/>
          <w:bCs/>
          <w:sz w:val="24"/>
          <w:szCs w:val="24"/>
        </w:rPr>
        <w:t>unfavorable</w:t>
      </w:r>
      <w:proofErr w:type="spellEnd"/>
      <w:r w:rsidRPr="002E5F86">
        <w:rPr>
          <w:rFonts w:ascii="Times New Roman" w:hAnsi="Times New Roman" w:cs="Times New Roman"/>
          <w:bCs/>
          <w:sz w:val="24"/>
          <w:szCs w:val="24"/>
        </w:rPr>
        <w:t xml:space="preserve"> circumstance happens in 2012, 2013 and 2014. </w:t>
      </w:r>
    </w:p>
    <w:p w14:paraId="3337EE93" w14:textId="77777777" w:rsidR="00BB370D" w:rsidRPr="002E5F86" w:rsidRDefault="00BB370D" w:rsidP="00652892">
      <w:pPr>
        <w:spacing w:after="60" w:line="600" w:lineRule="auto"/>
        <w:jc w:val="both"/>
        <w:rPr>
          <w:rFonts w:ascii="Times New Roman" w:hAnsi="Times New Roman" w:cs="Times New Roman"/>
          <w:bCs/>
          <w:sz w:val="24"/>
          <w:szCs w:val="24"/>
        </w:rPr>
      </w:pPr>
    </w:p>
    <w:p w14:paraId="03C83959" w14:textId="3677D8E3" w:rsidR="00BB370D" w:rsidRPr="002E5F86" w:rsidRDefault="00BB370D" w:rsidP="00652892">
      <w:pPr>
        <w:pStyle w:val="Heading3"/>
        <w:spacing w:line="600" w:lineRule="auto"/>
        <w:rPr>
          <w:rFonts w:ascii="Times New Roman" w:hAnsi="Times New Roman" w:cs="Times New Roman"/>
        </w:rPr>
      </w:pPr>
      <w:bookmarkStart w:id="22" w:name="_Toc429322220"/>
      <w:r w:rsidRPr="002E5F86">
        <w:rPr>
          <w:rFonts w:ascii="Times New Roman" w:hAnsi="Times New Roman" w:cs="Times New Roman"/>
        </w:rPr>
        <w:t>Leverage Ratio (Appendix 7)</w:t>
      </w:r>
      <w:bookmarkEnd w:id="22"/>
      <w:r w:rsidRPr="002E5F86">
        <w:rPr>
          <w:rFonts w:ascii="Times New Roman" w:hAnsi="Times New Roman" w:cs="Times New Roman"/>
        </w:rPr>
        <w:t xml:space="preserve"> </w:t>
      </w:r>
    </w:p>
    <w:p w14:paraId="334CCACC" w14:textId="77777777" w:rsidR="00BB370D" w:rsidRPr="002E5F86" w:rsidRDefault="00BB370D" w:rsidP="00652892">
      <w:pPr>
        <w:spacing w:after="60" w:line="600" w:lineRule="auto"/>
        <w:jc w:val="both"/>
        <w:rPr>
          <w:rFonts w:ascii="Times New Roman" w:hAnsi="Times New Roman" w:cs="Times New Roman"/>
          <w:bCs/>
          <w:sz w:val="24"/>
          <w:szCs w:val="24"/>
        </w:rPr>
      </w:pPr>
    </w:p>
    <w:p w14:paraId="003D5CB4" w14:textId="58BF5A68" w:rsidR="00401F44" w:rsidRPr="002E5F86" w:rsidRDefault="00BB370D" w:rsidP="00652892">
      <w:pPr>
        <w:spacing w:after="60" w:line="600" w:lineRule="auto"/>
        <w:jc w:val="both"/>
        <w:rPr>
          <w:rFonts w:ascii="Times New Roman" w:hAnsi="Times New Roman" w:cs="Times New Roman"/>
          <w:bCs/>
          <w:sz w:val="24"/>
          <w:szCs w:val="24"/>
        </w:rPr>
      </w:pPr>
      <w:r w:rsidRPr="002E5F86">
        <w:rPr>
          <w:rFonts w:ascii="Times New Roman" w:hAnsi="Times New Roman" w:cs="Times New Roman"/>
          <w:bCs/>
          <w:sz w:val="24"/>
          <w:szCs w:val="24"/>
        </w:rPr>
        <w:t>The budgetary influence proportion that demonstrates the extent of value and obligation indicates the amount of financing influence Woolworths has. The higher the proportion is, the more forceful the substance funds its development with borrowings. Woolworths' influence proportion has not experie</w:t>
      </w:r>
      <w:r w:rsidR="00AB0E2E" w:rsidRPr="002E5F86">
        <w:rPr>
          <w:rFonts w:ascii="Times New Roman" w:hAnsi="Times New Roman" w:cs="Times New Roman"/>
          <w:bCs/>
          <w:sz w:val="24"/>
          <w:szCs w:val="24"/>
        </w:rPr>
        <w:t xml:space="preserve">nced a lot of contrast from 1.17 in 2013 </w:t>
      </w:r>
      <w:proofErr w:type="spellStart"/>
      <w:r w:rsidR="00AB0E2E" w:rsidRPr="002E5F86">
        <w:rPr>
          <w:rFonts w:ascii="Times New Roman" w:hAnsi="Times New Roman" w:cs="Times New Roman"/>
          <w:bCs/>
          <w:sz w:val="24"/>
          <w:szCs w:val="24"/>
        </w:rPr>
        <w:t>comapred</w:t>
      </w:r>
      <w:proofErr w:type="spellEnd"/>
      <w:r w:rsidR="00AB0E2E" w:rsidRPr="002E5F86">
        <w:rPr>
          <w:rFonts w:ascii="Times New Roman" w:hAnsi="Times New Roman" w:cs="Times New Roman"/>
          <w:bCs/>
          <w:sz w:val="24"/>
          <w:szCs w:val="24"/>
        </w:rPr>
        <w:t xml:space="preserve"> to 0.86</w:t>
      </w:r>
      <w:r w:rsidRPr="002E5F86">
        <w:rPr>
          <w:rFonts w:ascii="Times New Roman" w:hAnsi="Times New Roman" w:cs="Times New Roman"/>
          <w:bCs/>
          <w:sz w:val="24"/>
          <w:szCs w:val="24"/>
        </w:rPr>
        <w:t xml:space="preserve"> in </w:t>
      </w:r>
      <w:r w:rsidR="00AB0E2E" w:rsidRPr="002E5F86">
        <w:rPr>
          <w:rFonts w:ascii="Times New Roman" w:hAnsi="Times New Roman" w:cs="Times New Roman"/>
          <w:bCs/>
          <w:sz w:val="24"/>
          <w:szCs w:val="24"/>
        </w:rPr>
        <w:t>the year 2015</w:t>
      </w:r>
      <w:r w:rsidRPr="002E5F86">
        <w:rPr>
          <w:rFonts w:ascii="Times New Roman" w:hAnsi="Times New Roman" w:cs="Times New Roman"/>
          <w:bCs/>
          <w:sz w:val="24"/>
          <w:szCs w:val="24"/>
        </w:rPr>
        <w:t xml:space="preserve">, really has kept up entirely relentless rate of influence. Its obtaining expense (Net Borrowing Cost) has </w:t>
      </w:r>
      <w:proofErr w:type="spellStart"/>
      <w:r w:rsidRPr="002E5F86">
        <w:rPr>
          <w:rFonts w:ascii="Times New Roman" w:hAnsi="Times New Roman" w:cs="Times New Roman"/>
          <w:bCs/>
          <w:sz w:val="24"/>
          <w:szCs w:val="24"/>
        </w:rPr>
        <w:t>constantily</w:t>
      </w:r>
      <w:proofErr w:type="spellEnd"/>
      <w:r w:rsidRPr="002E5F86">
        <w:rPr>
          <w:rFonts w:ascii="Times New Roman" w:hAnsi="Times New Roman" w:cs="Times New Roman"/>
          <w:bCs/>
          <w:sz w:val="24"/>
          <w:szCs w:val="24"/>
        </w:rPr>
        <w:t xml:space="preserve"> diminished acknowledging from Woolworths' budgetary danger administration. Case in point, Woolworths uses skimming to </w:t>
      </w:r>
      <w:proofErr w:type="gramStart"/>
      <w:r w:rsidRPr="002E5F86">
        <w:rPr>
          <w:rFonts w:ascii="Times New Roman" w:hAnsi="Times New Roman" w:cs="Times New Roman"/>
          <w:bCs/>
          <w:sz w:val="24"/>
          <w:szCs w:val="24"/>
        </w:rPr>
        <w:t>settled</w:t>
      </w:r>
      <w:proofErr w:type="gramEnd"/>
      <w:r w:rsidRPr="002E5F86">
        <w:rPr>
          <w:rFonts w:ascii="Times New Roman" w:hAnsi="Times New Roman" w:cs="Times New Roman"/>
          <w:bCs/>
          <w:sz w:val="24"/>
          <w:szCs w:val="24"/>
        </w:rPr>
        <w:t xml:space="preserve"> interest rate swap contracts with a specific end goal to minimize interest rate danger brought about from its getting stores at fluctuating </w:t>
      </w:r>
      <w:proofErr w:type="spellStart"/>
      <w:r w:rsidRPr="002E5F86">
        <w:rPr>
          <w:rFonts w:ascii="Times New Roman" w:hAnsi="Times New Roman" w:cs="Times New Roman"/>
          <w:bCs/>
          <w:sz w:val="24"/>
          <w:szCs w:val="24"/>
        </w:rPr>
        <w:t>interes</w:t>
      </w:r>
      <w:proofErr w:type="spellEnd"/>
      <w:r w:rsidRPr="002E5F86">
        <w:rPr>
          <w:rFonts w:ascii="Times New Roman" w:hAnsi="Times New Roman" w:cs="Times New Roman"/>
          <w:bCs/>
          <w:sz w:val="24"/>
          <w:szCs w:val="24"/>
        </w:rPr>
        <w:t xml:space="preserve"> rates. In this manner the spread of Woolworths has diminished all </w:t>
      </w:r>
      <w:r w:rsidRPr="002E5F86">
        <w:rPr>
          <w:rFonts w:ascii="Times New Roman" w:hAnsi="Times New Roman" w:cs="Times New Roman"/>
          <w:bCs/>
          <w:sz w:val="24"/>
          <w:szCs w:val="24"/>
        </w:rPr>
        <w:lastRenderedPageBreak/>
        <w:t>through 5years of period. Examination of NFL, RNOA and NBC demonstrates the lessening in ROE is because of Woolworths' poor execution on its operation since ROE is in reduction despite the fact that RNOA is greater than expense of obligation. In this way, Woolworths ought to figure out how to enhance its operational execution to guarantee its future supportability.</w:t>
      </w:r>
    </w:p>
    <w:p w14:paraId="76E46256" w14:textId="77777777" w:rsidR="00F6774E" w:rsidRPr="002E5F86" w:rsidRDefault="00F6774E" w:rsidP="00652892">
      <w:pPr>
        <w:pStyle w:val="Heading2"/>
        <w:spacing w:line="600" w:lineRule="auto"/>
        <w:jc w:val="both"/>
        <w:rPr>
          <w:rFonts w:ascii="Times New Roman" w:hAnsi="Times New Roman" w:cs="Times New Roman"/>
          <w:sz w:val="24"/>
          <w:szCs w:val="24"/>
        </w:rPr>
      </w:pPr>
      <w:bookmarkStart w:id="23" w:name="_Toc429322221"/>
      <w:r w:rsidRPr="002E5F86">
        <w:rPr>
          <w:rFonts w:ascii="Times New Roman" w:hAnsi="Times New Roman" w:cs="Times New Roman"/>
          <w:sz w:val="24"/>
          <w:szCs w:val="24"/>
        </w:rPr>
        <w:t>Cash Flow Analysis</w:t>
      </w:r>
      <w:bookmarkEnd w:id="23"/>
    </w:p>
    <w:p w14:paraId="48517CC6"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As money related reporting is collection premise, the income explanation mirror the organization's monetary reality through another methodology – money premise. It further upgrades the divulgence process for money related report clients (Appendix 8). </w:t>
      </w:r>
    </w:p>
    <w:p w14:paraId="792C8135" w14:textId="77777777" w:rsidR="00295928" w:rsidRPr="002E5F86" w:rsidRDefault="00295928" w:rsidP="00652892">
      <w:pPr>
        <w:spacing w:line="600" w:lineRule="auto"/>
        <w:jc w:val="both"/>
        <w:rPr>
          <w:rFonts w:ascii="Times New Roman" w:hAnsi="Times New Roman" w:cs="Times New Roman"/>
          <w:sz w:val="24"/>
          <w:szCs w:val="24"/>
        </w:rPr>
      </w:pPr>
    </w:p>
    <w:p w14:paraId="3B65C0D2"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Working exercises. </w:t>
      </w:r>
    </w:p>
    <w:p w14:paraId="49A307CA" w14:textId="77777777" w:rsidR="00295928" w:rsidRPr="002E5F86" w:rsidRDefault="00295928" w:rsidP="00652892">
      <w:pPr>
        <w:spacing w:line="600" w:lineRule="auto"/>
        <w:jc w:val="both"/>
        <w:rPr>
          <w:rFonts w:ascii="Times New Roman" w:hAnsi="Times New Roman" w:cs="Times New Roman"/>
          <w:sz w:val="24"/>
          <w:szCs w:val="24"/>
        </w:rPr>
      </w:pPr>
    </w:p>
    <w:p w14:paraId="0E6E9F83"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The inflows are principally shape receipts from clients, and the outpourings are from </w:t>
      </w:r>
      <w:proofErr w:type="spellStart"/>
      <w:r w:rsidRPr="002E5F86">
        <w:rPr>
          <w:rFonts w:ascii="Times New Roman" w:hAnsi="Times New Roman" w:cs="Times New Roman"/>
          <w:sz w:val="24"/>
          <w:szCs w:val="24"/>
        </w:rPr>
        <w:t>installments</w:t>
      </w:r>
      <w:proofErr w:type="spellEnd"/>
      <w:r w:rsidRPr="002E5F86">
        <w:rPr>
          <w:rFonts w:ascii="Times New Roman" w:hAnsi="Times New Roman" w:cs="Times New Roman"/>
          <w:sz w:val="24"/>
          <w:szCs w:val="24"/>
        </w:rPr>
        <w:t xml:space="preserve"> to suppliers and workers. Generally, the net inflows from CFO diminishes for the watched period, primarily in view of the declines of offers receipts from clients, obliging Woolworths to enhance its income gathering capacity accordingly. </w:t>
      </w:r>
    </w:p>
    <w:p w14:paraId="44EA10DF" w14:textId="77777777" w:rsidR="00295928" w:rsidRPr="002E5F86" w:rsidRDefault="00295928" w:rsidP="00652892">
      <w:pPr>
        <w:spacing w:line="600" w:lineRule="auto"/>
        <w:jc w:val="both"/>
        <w:rPr>
          <w:rFonts w:ascii="Times New Roman" w:hAnsi="Times New Roman" w:cs="Times New Roman"/>
          <w:sz w:val="24"/>
          <w:szCs w:val="24"/>
        </w:rPr>
      </w:pPr>
    </w:p>
    <w:p w14:paraId="62962243"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Contributing exercises. </w:t>
      </w:r>
    </w:p>
    <w:p w14:paraId="34AD49B8" w14:textId="77777777" w:rsidR="00295928" w:rsidRPr="002E5F86" w:rsidRDefault="00295928" w:rsidP="00652892">
      <w:pPr>
        <w:spacing w:line="600" w:lineRule="auto"/>
        <w:jc w:val="both"/>
        <w:rPr>
          <w:rFonts w:ascii="Times New Roman" w:hAnsi="Times New Roman" w:cs="Times New Roman"/>
          <w:sz w:val="24"/>
          <w:szCs w:val="24"/>
        </w:rPr>
      </w:pPr>
    </w:p>
    <w:p w14:paraId="76F1E877" w14:textId="37D44F16"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lastRenderedPageBreak/>
        <w:t xml:space="preserve">The surges are </w:t>
      </w:r>
      <w:proofErr w:type="spellStart"/>
      <w:r w:rsidRPr="002E5F86">
        <w:rPr>
          <w:rFonts w:ascii="Times New Roman" w:hAnsi="Times New Roman" w:cs="Times New Roman"/>
          <w:sz w:val="24"/>
          <w:szCs w:val="24"/>
        </w:rPr>
        <w:t>installments</w:t>
      </w:r>
      <w:proofErr w:type="spellEnd"/>
      <w:r w:rsidRPr="002E5F86">
        <w:rPr>
          <w:rFonts w:ascii="Times New Roman" w:hAnsi="Times New Roman" w:cs="Times New Roman"/>
          <w:sz w:val="24"/>
          <w:szCs w:val="24"/>
        </w:rPr>
        <w:t xml:space="preserve"> for speculations, for example, the </w:t>
      </w:r>
      <w:proofErr w:type="spellStart"/>
      <w:r w:rsidRPr="002E5F86">
        <w:rPr>
          <w:rFonts w:ascii="Times New Roman" w:hAnsi="Times New Roman" w:cs="Times New Roman"/>
          <w:sz w:val="24"/>
          <w:szCs w:val="24"/>
        </w:rPr>
        <w:t>installments</w:t>
      </w:r>
      <w:proofErr w:type="spellEnd"/>
      <w:r w:rsidRPr="002E5F86">
        <w:rPr>
          <w:rFonts w:ascii="Times New Roman" w:hAnsi="Times New Roman" w:cs="Times New Roman"/>
          <w:sz w:val="24"/>
          <w:szCs w:val="24"/>
        </w:rPr>
        <w:t xml:space="preserve"> for PPE, immaterial resources etc. Amid the 5-year period, CFI are net surges and changed year by year.</w:t>
      </w:r>
      <w:r w:rsidR="00652892" w:rsidRPr="002E5F86">
        <w:rPr>
          <w:rFonts w:ascii="Times New Roman" w:hAnsi="Times New Roman" w:cs="Times New Roman"/>
          <w:sz w:val="24"/>
          <w:szCs w:val="24"/>
        </w:rPr>
        <w:t xml:space="preserve"> In 2011, the surge came to 0.23</w:t>
      </w:r>
      <w:r w:rsidRPr="002E5F86">
        <w:rPr>
          <w:rFonts w:ascii="Times New Roman" w:hAnsi="Times New Roman" w:cs="Times New Roman"/>
          <w:sz w:val="24"/>
          <w:szCs w:val="24"/>
        </w:rPr>
        <w:t xml:space="preserve">b, for the most part because of the business extension of Woolworths and the administration obtained scopes of PPE accordingly. </w:t>
      </w:r>
    </w:p>
    <w:p w14:paraId="19F5A1CD"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Financing exercises. </w:t>
      </w:r>
    </w:p>
    <w:p w14:paraId="4876F713" w14:textId="1DD1D0A6"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These are money inflows and surges identified with borrowings and shares. The net outpourings for CFF diminished persistently from 201</w:t>
      </w:r>
      <w:r w:rsidR="00652892" w:rsidRPr="002E5F86">
        <w:rPr>
          <w:rFonts w:ascii="Times New Roman" w:hAnsi="Times New Roman" w:cs="Times New Roman"/>
          <w:sz w:val="24"/>
          <w:szCs w:val="24"/>
        </w:rPr>
        <w:t>2</w:t>
      </w:r>
      <w:r w:rsidRPr="002E5F86">
        <w:rPr>
          <w:rFonts w:ascii="Times New Roman" w:hAnsi="Times New Roman" w:cs="Times New Roman"/>
          <w:sz w:val="24"/>
          <w:szCs w:val="24"/>
        </w:rPr>
        <w:t xml:space="preserve"> to 20</w:t>
      </w:r>
      <w:r w:rsidR="00652892" w:rsidRPr="002E5F86">
        <w:rPr>
          <w:rFonts w:ascii="Times New Roman" w:hAnsi="Times New Roman" w:cs="Times New Roman"/>
          <w:sz w:val="24"/>
          <w:szCs w:val="24"/>
        </w:rPr>
        <w:t>15. The outpourings came to 0.24B in 2012</w:t>
      </w:r>
      <w:r w:rsidRPr="002E5F86">
        <w:rPr>
          <w:rFonts w:ascii="Times New Roman" w:hAnsi="Times New Roman" w:cs="Times New Roman"/>
          <w:sz w:val="24"/>
          <w:szCs w:val="24"/>
        </w:rPr>
        <w:t>, because of the reimbursements of borrowings and Woolworths Notes in that year. With subsidizing structure rebuild, Woolworths no more intensely depend on outside borrowings to bolster the business, and money outpourings for reimbursements of obligations h</w:t>
      </w:r>
      <w:r w:rsidR="00652892" w:rsidRPr="002E5F86">
        <w:rPr>
          <w:rFonts w:ascii="Times New Roman" w:hAnsi="Times New Roman" w:cs="Times New Roman"/>
          <w:sz w:val="24"/>
          <w:szCs w:val="24"/>
        </w:rPr>
        <w:t>as diminished subsequent to 2012</w:t>
      </w:r>
      <w:r w:rsidRPr="002E5F86">
        <w:rPr>
          <w:rFonts w:ascii="Times New Roman" w:hAnsi="Times New Roman" w:cs="Times New Roman"/>
          <w:sz w:val="24"/>
          <w:szCs w:val="24"/>
        </w:rPr>
        <w:t xml:space="preserve"> accordingly, driving diminished net money surges from financing exercises in the </w:t>
      </w:r>
      <w:proofErr w:type="spellStart"/>
      <w:r w:rsidRPr="002E5F86">
        <w:rPr>
          <w:rFonts w:ascii="Times New Roman" w:hAnsi="Times New Roman" w:cs="Times New Roman"/>
          <w:sz w:val="24"/>
          <w:szCs w:val="24"/>
        </w:rPr>
        <w:t>mean time</w:t>
      </w:r>
      <w:proofErr w:type="spellEnd"/>
      <w:r w:rsidRPr="002E5F86">
        <w:rPr>
          <w:rFonts w:ascii="Times New Roman" w:hAnsi="Times New Roman" w:cs="Times New Roman"/>
          <w:sz w:val="24"/>
          <w:szCs w:val="24"/>
        </w:rPr>
        <w:t xml:space="preserve">. </w:t>
      </w:r>
    </w:p>
    <w:p w14:paraId="16F162CE" w14:textId="77777777" w:rsidR="00295928" w:rsidRPr="002E5F86" w:rsidRDefault="00295928" w:rsidP="00652892">
      <w:pPr>
        <w:spacing w:line="600" w:lineRule="auto"/>
        <w:jc w:val="both"/>
        <w:rPr>
          <w:rFonts w:ascii="Times New Roman" w:hAnsi="Times New Roman" w:cs="Times New Roman"/>
          <w:sz w:val="24"/>
          <w:szCs w:val="24"/>
        </w:rPr>
      </w:pPr>
    </w:p>
    <w:p w14:paraId="45683694" w14:textId="77777777"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 xml:space="preserve">Free income (FCF). </w:t>
      </w:r>
    </w:p>
    <w:p w14:paraId="4A029904" w14:textId="77777777" w:rsidR="00295928" w:rsidRPr="002E5F86" w:rsidRDefault="00295928" w:rsidP="00652892">
      <w:pPr>
        <w:spacing w:line="600" w:lineRule="auto"/>
        <w:jc w:val="both"/>
        <w:rPr>
          <w:rFonts w:ascii="Times New Roman" w:hAnsi="Times New Roman" w:cs="Times New Roman"/>
          <w:sz w:val="24"/>
          <w:szCs w:val="24"/>
        </w:rPr>
      </w:pPr>
    </w:p>
    <w:p w14:paraId="60B512B5" w14:textId="0E342735" w:rsidR="00295928"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It is utilized to evaluate a substance's free money left in the wake of paying all capital use, experienced abatements as of late. This is essentially because of the exacerbate market circumstance. Be that as it may, as Woolworths has l</w:t>
      </w:r>
      <w:r w:rsidR="00652892" w:rsidRPr="002E5F86">
        <w:rPr>
          <w:rFonts w:ascii="Times New Roman" w:hAnsi="Times New Roman" w:cs="Times New Roman"/>
          <w:sz w:val="24"/>
          <w:szCs w:val="24"/>
        </w:rPr>
        <w:t>essened its borrowings from 2013</w:t>
      </w:r>
      <w:r w:rsidRPr="002E5F86">
        <w:rPr>
          <w:rFonts w:ascii="Times New Roman" w:hAnsi="Times New Roman" w:cs="Times New Roman"/>
          <w:sz w:val="24"/>
          <w:szCs w:val="24"/>
        </w:rPr>
        <w:t xml:space="preserve"> on, and market development needs to incredible degree actualized, once the retailing business in </w:t>
      </w:r>
      <w:r w:rsidRPr="002E5F86">
        <w:rPr>
          <w:rFonts w:ascii="Times New Roman" w:hAnsi="Times New Roman" w:cs="Times New Roman"/>
          <w:sz w:val="24"/>
          <w:szCs w:val="24"/>
        </w:rPr>
        <w:lastRenderedPageBreak/>
        <w:t xml:space="preserve">Australia starts to recoup, the whole monetary circumstance of Woolworths will be to awesome degree progressed. As it were, with business recuperation comes, Woolworths' execution will be better for sure because of its administration's change exercises. </w:t>
      </w:r>
    </w:p>
    <w:p w14:paraId="1D9B84F2" w14:textId="77777777" w:rsidR="00295928" w:rsidRPr="002E5F86" w:rsidRDefault="00295928" w:rsidP="00652892">
      <w:pPr>
        <w:spacing w:line="600" w:lineRule="auto"/>
        <w:jc w:val="both"/>
        <w:rPr>
          <w:rFonts w:ascii="Times New Roman" w:hAnsi="Times New Roman" w:cs="Times New Roman"/>
          <w:sz w:val="24"/>
          <w:szCs w:val="24"/>
        </w:rPr>
      </w:pPr>
    </w:p>
    <w:p w14:paraId="2E4DD69F" w14:textId="4C718940" w:rsidR="001338D1" w:rsidRPr="002E5F86" w:rsidRDefault="00295928" w:rsidP="00652892">
      <w:pPr>
        <w:spacing w:line="600" w:lineRule="auto"/>
        <w:jc w:val="both"/>
        <w:rPr>
          <w:rFonts w:ascii="Times New Roman" w:hAnsi="Times New Roman" w:cs="Times New Roman"/>
          <w:sz w:val="24"/>
          <w:szCs w:val="24"/>
        </w:rPr>
      </w:pPr>
      <w:r w:rsidRPr="002E5F86">
        <w:rPr>
          <w:rFonts w:ascii="Times New Roman" w:hAnsi="Times New Roman" w:cs="Times New Roman"/>
          <w:sz w:val="24"/>
          <w:szCs w:val="24"/>
        </w:rPr>
        <w:t>Generally speaking, key budgetary proportions reflects ideal money related circumstance of Woolworths. Despite the fact that the current monetary conditions forestall Woolworths to help its deals, the activities propelled by the administration of Woolworths will positively help the organization to improve the budgetary execution of the organization once the household markets in Australia starts to recuperate. To this point, the general execution of Woolworths is acceptable, and the business choices and exercises directed by the administration is of supportability. It further improves the confidences for Woolworths' partner.</w:t>
      </w:r>
    </w:p>
    <w:p w14:paraId="62EF1723" w14:textId="0947B29F" w:rsidR="00A94A19" w:rsidRDefault="00A94A19" w:rsidP="00652892">
      <w:pPr>
        <w:spacing w:after="60" w:line="600" w:lineRule="auto"/>
        <w:jc w:val="both"/>
        <w:rPr>
          <w:rFonts w:ascii="Times New Roman" w:hAnsi="Times New Roman" w:cs="Times New Roman"/>
          <w:b/>
          <w:color w:val="000000" w:themeColor="text1"/>
          <w:sz w:val="24"/>
          <w:szCs w:val="24"/>
        </w:rPr>
      </w:pPr>
      <w:r w:rsidRPr="002E5F86">
        <w:rPr>
          <w:rFonts w:ascii="Times New Roman" w:hAnsi="Times New Roman" w:cs="Times New Roman"/>
          <w:b/>
          <w:color w:val="000000" w:themeColor="text1"/>
          <w:sz w:val="24"/>
          <w:szCs w:val="24"/>
        </w:rPr>
        <w:t>Appendix</w:t>
      </w:r>
    </w:p>
    <w:bookmarkStart w:id="24" w:name="_Toc429322222" w:displacedByCustomXml="next"/>
    <w:sdt>
      <w:sdtPr>
        <w:rPr>
          <w:rFonts w:asciiTheme="minorHAnsi" w:eastAsiaTheme="minorEastAsia" w:hAnsiTheme="minorHAnsi" w:cstheme="minorBidi"/>
          <w:b w:val="0"/>
          <w:bCs w:val="0"/>
          <w:color w:val="auto"/>
          <w:sz w:val="22"/>
          <w:szCs w:val="22"/>
          <w:lang w:val="en-GB"/>
        </w:rPr>
        <w:id w:val="914752134"/>
        <w:docPartObj>
          <w:docPartGallery w:val="Bibliographies"/>
          <w:docPartUnique/>
        </w:docPartObj>
      </w:sdtPr>
      <w:sdtEndPr/>
      <w:sdtContent>
        <w:p w14:paraId="7613FF61" w14:textId="5DA197A4" w:rsidR="00AB5C6D" w:rsidRDefault="00AB5C6D">
          <w:pPr>
            <w:pStyle w:val="Heading1"/>
          </w:pPr>
          <w:r>
            <w:t>Bibliography</w:t>
          </w:r>
          <w:bookmarkEnd w:id="24"/>
        </w:p>
        <w:sdt>
          <w:sdtPr>
            <w:id w:val="111145805"/>
            <w:bibliography/>
          </w:sdtPr>
          <w:sdtEndPr/>
          <w:sdtContent>
            <w:p w14:paraId="558539D4" w14:textId="77777777" w:rsidR="00AB5C6D" w:rsidRDefault="00AB5C6D" w:rsidP="00AB5C6D">
              <w:pPr>
                <w:pStyle w:val="Bibliography"/>
                <w:rPr>
                  <w:rFonts w:cs="Times New Roman"/>
                  <w:noProof/>
                  <w:sz w:val="24"/>
                </w:rPr>
              </w:pPr>
              <w:r>
                <w:fldChar w:fldCharType="begin"/>
              </w:r>
              <w:r>
                <w:instrText xml:space="preserve"> BIBLIOGRAPHY </w:instrText>
              </w:r>
              <w:r>
                <w:fldChar w:fldCharType="separate"/>
              </w:r>
              <w:r>
                <w:rPr>
                  <w:noProof/>
                </w:rPr>
                <w:t xml:space="preserve">Andrew, J., 2009. </w:t>
              </w:r>
              <w:r>
                <w:rPr>
                  <w:i/>
                  <w:iCs/>
                  <w:noProof/>
                </w:rPr>
                <w:t xml:space="preserve">Financial Management; Principles and Practice. </w:t>
              </w:r>
              <w:r>
                <w:rPr>
                  <w:noProof/>
                </w:rPr>
                <w:t>USA: Freeload Press.</w:t>
              </w:r>
            </w:p>
            <w:p w14:paraId="73084B9C" w14:textId="77777777" w:rsidR="00AB5C6D" w:rsidRDefault="00AB5C6D" w:rsidP="00AB5C6D">
              <w:pPr>
                <w:pStyle w:val="Bibliography"/>
                <w:rPr>
                  <w:noProof/>
                </w:rPr>
              </w:pPr>
              <w:r>
                <w:rPr>
                  <w:noProof/>
                </w:rPr>
                <w:t xml:space="preserve">Arnold, G., 2013. </w:t>
              </w:r>
              <w:r>
                <w:rPr>
                  <w:i/>
                  <w:iCs/>
                  <w:noProof/>
                </w:rPr>
                <w:t xml:space="preserve">Essentials of Corporate Financial Management. </w:t>
              </w:r>
              <w:r>
                <w:rPr>
                  <w:noProof/>
                </w:rPr>
                <w:t>2nd ed. s.l.:Pearson.</w:t>
              </w:r>
            </w:p>
            <w:p w14:paraId="20499875" w14:textId="77777777" w:rsidR="00AB5C6D" w:rsidRDefault="00AB5C6D" w:rsidP="00AB5C6D">
              <w:pPr>
                <w:pStyle w:val="Bibliography"/>
                <w:rPr>
                  <w:noProof/>
                </w:rPr>
              </w:pPr>
              <w:r>
                <w:rPr>
                  <w:noProof/>
                </w:rPr>
                <w:t xml:space="preserve">Brigham, E. F. &amp; Ehhardt, M. C., 2010. </w:t>
              </w:r>
              <w:r>
                <w:rPr>
                  <w:i/>
                  <w:iCs/>
                  <w:noProof/>
                </w:rPr>
                <w:t xml:space="preserve">Financial Management Theory and Practice. </w:t>
              </w:r>
              <w:r>
                <w:rPr>
                  <w:noProof/>
                </w:rPr>
                <w:t>NY: Cengage Learning.</w:t>
              </w:r>
            </w:p>
            <w:p w14:paraId="426A92DA" w14:textId="77777777" w:rsidR="00AB5C6D" w:rsidRDefault="00AB5C6D" w:rsidP="00AB5C6D">
              <w:pPr>
                <w:pStyle w:val="Bibliography"/>
                <w:rPr>
                  <w:noProof/>
                </w:rPr>
              </w:pPr>
              <w:r>
                <w:rPr>
                  <w:noProof/>
                </w:rPr>
                <w:t xml:space="preserve">Holmen, M. &amp; Pramborg, B., 2009. Capital Budgeting and Political Risk: Empirical Evidence. </w:t>
              </w:r>
              <w:r>
                <w:rPr>
                  <w:i/>
                  <w:iCs/>
                  <w:noProof/>
                </w:rPr>
                <w:t xml:space="preserve">Journal of International Financial Management &amp; Accounting, </w:t>
              </w:r>
              <w:r>
                <w:rPr>
                  <w:noProof/>
                </w:rPr>
                <w:t>20(2), pp. 105-134.</w:t>
              </w:r>
            </w:p>
            <w:p w14:paraId="0D908094" w14:textId="77777777" w:rsidR="00AB5C6D" w:rsidRDefault="00AB5C6D" w:rsidP="00AB5C6D">
              <w:pPr>
                <w:pStyle w:val="Bibliography"/>
                <w:rPr>
                  <w:noProof/>
                </w:rPr>
              </w:pPr>
              <w:r>
                <w:rPr>
                  <w:noProof/>
                </w:rPr>
                <w:t xml:space="preserve">P, A., 2012. </w:t>
              </w:r>
              <w:r>
                <w:rPr>
                  <w:i/>
                  <w:iCs/>
                  <w:noProof/>
                </w:rPr>
                <w:t xml:space="preserve">Financial Management for Decision Makers. </w:t>
              </w:r>
              <w:r>
                <w:rPr>
                  <w:noProof/>
                </w:rPr>
                <w:t>6th ed. s.l.:Ft Prentice Hall.</w:t>
              </w:r>
            </w:p>
            <w:p w14:paraId="7BA156E6" w14:textId="77777777" w:rsidR="00AB5C6D" w:rsidRDefault="00AB5C6D" w:rsidP="00AB5C6D">
              <w:pPr>
                <w:pStyle w:val="Bibliography"/>
                <w:rPr>
                  <w:noProof/>
                </w:rPr>
              </w:pPr>
              <w:r>
                <w:rPr>
                  <w:noProof/>
                </w:rPr>
                <w:t xml:space="preserve">Petty, W., Keown, A., Scott, D. &amp; Martin, J., 2013. </w:t>
              </w:r>
              <w:r>
                <w:rPr>
                  <w:i/>
                  <w:iCs/>
                  <w:noProof/>
                </w:rPr>
                <w:t xml:space="preserve">Financial Management: Principles and Applications. </w:t>
              </w:r>
              <w:r>
                <w:rPr>
                  <w:noProof/>
                </w:rPr>
                <w:t>6th ed. UK: Pearson education.</w:t>
              </w:r>
            </w:p>
            <w:p w14:paraId="7839107D" w14:textId="778FAB0A" w:rsidR="00AB5C6D" w:rsidRDefault="00AB5C6D" w:rsidP="00AB5C6D">
              <w:r>
                <w:rPr>
                  <w:b/>
                  <w:bCs/>
                  <w:noProof/>
                </w:rPr>
                <w:fldChar w:fldCharType="end"/>
              </w:r>
            </w:p>
          </w:sdtContent>
        </w:sdt>
      </w:sdtContent>
    </w:sdt>
    <w:p w14:paraId="1AA7996E" w14:textId="77777777" w:rsidR="00AB5C6D" w:rsidRPr="002E5F86" w:rsidRDefault="00AB5C6D" w:rsidP="00652892">
      <w:pPr>
        <w:spacing w:after="60" w:line="600" w:lineRule="auto"/>
        <w:jc w:val="both"/>
        <w:rPr>
          <w:rFonts w:ascii="Times New Roman" w:hAnsi="Times New Roman" w:cs="Times New Roman"/>
          <w:sz w:val="24"/>
          <w:szCs w:val="24"/>
        </w:rPr>
      </w:pPr>
    </w:p>
    <w:p w14:paraId="1E9C3EA7" w14:textId="77777777" w:rsidR="006701E2" w:rsidRPr="002E5F86" w:rsidRDefault="006701E2" w:rsidP="00652892">
      <w:pPr>
        <w:spacing w:after="60" w:line="600" w:lineRule="auto"/>
        <w:jc w:val="both"/>
        <w:rPr>
          <w:rFonts w:ascii="Times New Roman" w:hAnsi="Times New Roman" w:cs="Times New Roman"/>
          <w:b/>
          <w:sz w:val="24"/>
          <w:szCs w:val="24"/>
        </w:rPr>
      </w:pPr>
    </w:p>
    <w:p w14:paraId="09577355"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1 – Reformatted BS</w:t>
      </w:r>
    </w:p>
    <w:tbl>
      <w:tblPr>
        <w:tblW w:w="9620" w:type="dxa"/>
        <w:tblInd w:w="113" w:type="dxa"/>
        <w:tblLook w:val="04A0" w:firstRow="1" w:lastRow="0" w:firstColumn="1" w:lastColumn="0" w:noHBand="0" w:noVBand="1"/>
      </w:tblPr>
      <w:tblGrid>
        <w:gridCol w:w="5020"/>
        <w:gridCol w:w="1120"/>
        <w:gridCol w:w="1240"/>
        <w:gridCol w:w="1120"/>
        <w:gridCol w:w="1120"/>
      </w:tblGrid>
      <w:tr w:rsidR="003B07EA" w:rsidRPr="002E5F86" w14:paraId="419B265A" w14:textId="77777777" w:rsidTr="003B07EA">
        <w:trPr>
          <w:trHeight w:val="312"/>
        </w:trPr>
        <w:tc>
          <w:tcPr>
            <w:tcW w:w="5020" w:type="dxa"/>
            <w:tcBorders>
              <w:top w:val="nil"/>
              <w:left w:val="nil"/>
              <w:bottom w:val="nil"/>
              <w:right w:val="nil"/>
            </w:tcBorders>
            <w:shd w:val="clear" w:color="auto" w:fill="auto"/>
            <w:noWrap/>
            <w:vAlign w:val="bottom"/>
            <w:hideMark/>
          </w:tcPr>
          <w:p w14:paraId="3EADEDE3"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p>
        </w:tc>
        <w:tc>
          <w:tcPr>
            <w:tcW w:w="1120" w:type="dxa"/>
            <w:tcBorders>
              <w:top w:val="nil"/>
              <w:left w:val="nil"/>
              <w:bottom w:val="nil"/>
              <w:right w:val="nil"/>
            </w:tcBorders>
            <w:shd w:val="clear" w:color="auto" w:fill="auto"/>
            <w:noWrap/>
            <w:vAlign w:val="bottom"/>
            <w:hideMark/>
          </w:tcPr>
          <w:p w14:paraId="318C02D8"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p>
        </w:tc>
        <w:tc>
          <w:tcPr>
            <w:tcW w:w="1240" w:type="dxa"/>
            <w:tcBorders>
              <w:top w:val="nil"/>
              <w:left w:val="nil"/>
              <w:bottom w:val="nil"/>
              <w:right w:val="nil"/>
            </w:tcBorders>
            <w:shd w:val="clear" w:color="auto" w:fill="auto"/>
            <w:noWrap/>
            <w:vAlign w:val="bottom"/>
            <w:hideMark/>
          </w:tcPr>
          <w:p w14:paraId="6355E917"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p>
        </w:tc>
        <w:tc>
          <w:tcPr>
            <w:tcW w:w="1120" w:type="dxa"/>
            <w:tcBorders>
              <w:top w:val="nil"/>
              <w:left w:val="nil"/>
              <w:bottom w:val="nil"/>
              <w:right w:val="nil"/>
            </w:tcBorders>
            <w:shd w:val="clear" w:color="auto" w:fill="auto"/>
            <w:noWrap/>
            <w:vAlign w:val="bottom"/>
            <w:hideMark/>
          </w:tcPr>
          <w:p w14:paraId="71DC0247"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p>
        </w:tc>
        <w:tc>
          <w:tcPr>
            <w:tcW w:w="1120" w:type="dxa"/>
            <w:tcBorders>
              <w:top w:val="nil"/>
              <w:left w:val="nil"/>
              <w:bottom w:val="nil"/>
              <w:right w:val="nil"/>
            </w:tcBorders>
            <w:shd w:val="clear" w:color="auto" w:fill="auto"/>
            <w:noWrap/>
            <w:vAlign w:val="bottom"/>
            <w:hideMark/>
          </w:tcPr>
          <w:p w14:paraId="20503F5A"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p>
        </w:tc>
      </w:tr>
      <w:tr w:rsidR="003B07EA" w:rsidRPr="002E5F86" w14:paraId="45FBFA6E" w14:textId="77777777" w:rsidTr="003B07EA">
        <w:trPr>
          <w:trHeight w:val="1150"/>
        </w:trPr>
        <w:tc>
          <w:tcPr>
            <w:tcW w:w="9620" w:type="dxa"/>
            <w:gridSpan w:val="5"/>
            <w:vMerge w:val="restart"/>
            <w:tcBorders>
              <w:top w:val="nil"/>
              <w:left w:val="single" w:sz="8" w:space="0" w:color="auto"/>
              <w:bottom w:val="nil"/>
              <w:right w:val="nil"/>
            </w:tcBorders>
            <w:shd w:val="clear" w:color="000000" w:fill="1F497D"/>
            <w:noWrap/>
            <w:vAlign w:val="center"/>
            <w:hideMark/>
          </w:tcPr>
          <w:p w14:paraId="781B2F8C" w14:textId="77777777" w:rsidR="003B07EA" w:rsidRPr="002E5F86" w:rsidRDefault="003B07EA" w:rsidP="00652892">
            <w:pPr>
              <w:spacing w:after="0" w:line="600" w:lineRule="auto"/>
              <w:jc w:val="center"/>
              <w:rPr>
                <w:rFonts w:ascii="Times New Roman" w:eastAsia="Times New Roman" w:hAnsi="Times New Roman" w:cs="Times New Roman"/>
                <w:color w:val="FFFFFF"/>
                <w:sz w:val="24"/>
                <w:szCs w:val="24"/>
                <w:lang w:val="en-US" w:eastAsia="en-US" w:bidi="hi-IN"/>
              </w:rPr>
            </w:pPr>
            <w:proofErr w:type="spellStart"/>
            <w:r w:rsidRPr="002E5F86">
              <w:rPr>
                <w:rFonts w:ascii="Times New Roman" w:eastAsia="Times New Roman" w:hAnsi="Times New Roman" w:cs="Times New Roman"/>
                <w:color w:val="FFFFFF"/>
                <w:sz w:val="24"/>
                <w:szCs w:val="24"/>
                <w:lang w:val="en-US" w:eastAsia="en-US" w:bidi="hi-IN"/>
              </w:rPr>
              <w:t>Woolsworth</w:t>
            </w:r>
            <w:proofErr w:type="spellEnd"/>
            <w:r w:rsidRPr="002E5F86">
              <w:rPr>
                <w:rFonts w:ascii="Times New Roman" w:eastAsia="Times New Roman" w:hAnsi="Times New Roman" w:cs="Times New Roman"/>
                <w:color w:val="FFFFFF"/>
                <w:sz w:val="24"/>
                <w:szCs w:val="24"/>
                <w:lang w:val="en-US" w:eastAsia="en-US" w:bidi="hi-IN"/>
              </w:rPr>
              <w:t xml:space="preserve"> Limited (WOW.AX)</w:t>
            </w:r>
          </w:p>
        </w:tc>
      </w:tr>
      <w:tr w:rsidR="003B07EA" w:rsidRPr="002E5F86" w14:paraId="50FFE7F4" w14:textId="77777777" w:rsidTr="003B07EA">
        <w:trPr>
          <w:trHeight w:val="1150"/>
        </w:trPr>
        <w:tc>
          <w:tcPr>
            <w:tcW w:w="9620" w:type="dxa"/>
            <w:gridSpan w:val="5"/>
            <w:vMerge/>
            <w:tcBorders>
              <w:top w:val="nil"/>
              <w:left w:val="single" w:sz="8" w:space="0" w:color="auto"/>
              <w:bottom w:val="nil"/>
              <w:right w:val="nil"/>
            </w:tcBorders>
            <w:vAlign w:val="center"/>
            <w:hideMark/>
          </w:tcPr>
          <w:p w14:paraId="6EC32F71" w14:textId="77777777" w:rsidR="003B07EA" w:rsidRPr="002E5F86" w:rsidRDefault="003B07EA" w:rsidP="00652892">
            <w:pPr>
              <w:spacing w:after="0" w:line="600" w:lineRule="auto"/>
              <w:rPr>
                <w:rFonts w:ascii="Times New Roman" w:eastAsia="Times New Roman" w:hAnsi="Times New Roman" w:cs="Times New Roman"/>
                <w:color w:val="FFFFFF"/>
                <w:sz w:val="24"/>
                <w:szCs w:val="24"/>
                <w:lang w:val="en-US" w:eastAsia="en-US" w:bidi="hi-IN"/>
              </w:rPr>
            </w:pPr>
          </w:p>
        </w:tc>
      </w:tr>
      <w:tr w:rsidR="003B07EA" w:rsidRPr="002E5F86" w14:paraId="4CF99A61"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47256AF" w14:textId="77777777" w:rsidR="003B07EA" w:rsidRPr="002E5F86" w:rsidRDefault="003B07EA" w:rsidP="00652892">
            <w:pPr>
              <w:spacing w:after="0" w:line="600" w:lineRule="auto"/>
              <w:rPr>
                <w:rFonts w:ascii="Times New Roman" w:eastAsia="Times New Roman" w:hAnsi="Times New Roman" w:cs="Times New Roman"/>
                <w:b/>
                <w:bCs/>
                <w:i/>
                <w:iCs/>
                <w:color w:val="000000"/>
                <w:sz w:val="24"/>
                <w:szCs w:val="24"/>
                <w:lang w:val="en-US" w:eastAsia="en-US" w:bidi="hi-IN"/>
              </w:rPr>
            </w:pPr>
            <w:r w:rsidRPr="002E5F86">
              <w:rPr>
                <w:rFonts w:ascii="Times New Roman" w:eastAsia="Times New Roman" w:hAnsi="Times New Roman" w:cs="Times New Roman"/>
                <w:b/>
                <w:bCs/>
                <w:i/>
                <w:iCs/>
                <w:color w:val="000000"/>
                <w:sz w:val="24"/>
                <w:szCs w:val="24"/>
                <w:lang w:val="en-US" w:eastAsia="en-US" w:bidi="hi-IN"/>
              </w:rPr>
              <w:t>Reformatted Balance Sheet</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31741F4A"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2012</w:t>
            </w:r>
          </w:p>
        </w:tc>
        <w:tc>
          <w:tcPr>
            <w:tcW w:w="1240" w:type="dxa"/>
            <w:tcBorders>
              <w:top w:val="single" w:sz="4" w:space="0" w:color="auto"/>
              <w:left w:val="nil"/>
              <w:bottom w:val="single" w:sz="4" w:space="0" w:color="auto"/>
              <w:right w:val="single" w:sz="4" w:space="0" w:color="auto"/>
            </w:tcBorders>
            <w:shd w:val="clear" w:color="000000" w:fill="B1A0C7"/>
            <w:noWrap/>
            <w:vAlign w:val="bottom"/>
            <w:hideMark/>
          </w:tcPr>
          <w:p w14:paraId="4EE117B3"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2013</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2C570240"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2014</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20FE0B06"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2015</w:t>
            </w:r>
          </w:p>
        </w:tc>
      </w:tr>
      <w:tr w:rsidR="003B07EA" w:rsidRPr="002E5F86" w14:paraId="3A60B434" w14:textId="77777777" w:rsidTr="003B07EA">
        <w:trPr>
          <w:trHeight w:val="312"/>
        </w:trPr>
        <w:tc>
          <w:tcPr>
            <w:tcW w:w="5020" w:type="dxa"/>
            <w:tcBorders>
              <w:top w:val="nil"/>
              <w:left w:val="single" w:sz="4" w:space="0" w:color="auto"/>
              <w:bottom w:val="nil"/>
              <w:right w:val="nil"/>
            </w:tcBorders>
            <w:shd w:val="clear" w:color="000000" w:fill="B1A0C7"/>
            <w:noWrap/>
            <w:vAlign w:val="bottom"/>
            <w:hideMark/>
          </w:tcPr>
          <w:p w14:paraId="1EA453BB"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Operating Assets</w:t>
            </w:r>
          </w:p>
        </w:tc>
        <w:tc>
          <w:tcPr>
            <w:tcW w:w="1120" w:type="dxa"/>
            <w:tcBorders>
              <w:top w:val="nil"/>
              <w:left w:val="single" w:sz="4" w:space="0" w:color="auto"/>
              <w:bottom w:val="nil"/>
              <w:right w:val="single" w:sz="4" w:space="0" w:color="auto"/>
            </w:tcBorders>
            <w:shd w:val="clear" w:color="000000" w:fill="B1A0C7"/>
            <w:noWrap/>
            <w:vAlign w:val="bottom"/>
            <w:hideMark/>
          </w:tcPr>
          <w:p w14:paraId="212CF44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$000,000</w:t>
            </w:r>
          </w:p>
        </w:tc>
        <w:tc>
          <w:tcPr>
            <w:tcW w:w="1240" w:type="dxa"/>
            <w:tcBorders>
              <w:top w:val="nil"/>
              <w:left w:val="nil"/>
              <w:bottom w:val="nil"/>
              <w:right w:val="single" w:sz="4" w:space="0" w:color="auto"/>
            </w:tcBorders>
            <w:shd w:val="clear" w:color="000000" w:fill="B1A0C7"/>
            <w:noWrap/>
            <w:vAlign w:val="bottom"/>
            <w:hideMark/>
          </w:tcPr>
          <w:p w14:paraId="54A3AB8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$000,000</w:t>
            </w:r>
          </w:p>
        </w:tc>
        <w:tc>
          <w:tcPr>
            <w:tcW w:w="1120" w:type="dxa"/>
            <w:tcBorders>
              <w:top w:val="nil"/>
              <w:left w:val="nil"/>
              <w:bottom w:val="nil"/>
              <w:right w:val="single" w:sz="4" w:space="0" w:color="auto"/>
            </w:tcBorders>
            <w:shd w:val="clear" w:color="000000" w:fill="B1A0C7"/>
            <w:noWrap/>
            <w:vAlign w:val="bottom"/>
            <w:hideMark/>
          </w:tcPr>
          <w:p w14:paraId="25F8E15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$000,000</w:t>
            </w:r>
          </w:p>
        </w:tc>
        <w:tc>
          <w:tcPr>
            <w:tcW w:w="1120" w:type="dxa"/>
            <w:tcBorders>
              <w:top w:val="nil"/>
              <w:left w:val="nil"/>
              <w:bottom w:val="nil"/>
              <w:right w:val="single" w:sz="4" w:space="0" w:color="auto"/>
            </w:tcBorders>
            <w:shd w:val="clear" w:color="000000" w:fill="B1A0C7"/>
            <w:noWrap/>
            <w:vAlign w:val="bottom"/>
            <w:hideMark/>
          </w:tcPr>
          <w:p w14:paraId="57E9AB6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$000,000</w:t>
            </w:r>
          </w:p>
        </w:tc>
      </w:tr>
      <w:tr w:rsidR="003B07EA" w:rsidRPr="002E5F86" w14:paraId="728E2387"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AEE146C" w14:textId="77777777" w:rsidR="003B07EA" w:rsidRPr="002E5F86" w:rsidRDefault="003B07EA" w:rsidP="00652892">
            <w:pPr>
              <w:spacing w:after="0" w:line="600" w:lineRule="auto"/>
              <w:rPr>
                <w:rFonts w:ascii="Times New Roman" w:eastAsia="Times New Roman" w:hAnsi="Times New Roman" w:cs="Times New Roman"/>
                <w:b/>
                <w:bCs/>
                <w:i/>
                <w:iCs/>
                <w:color w:val="000000"/>
                <w:sz w:val="24"/>
                <w:szCs w:val="24"/>
                <w:lang w:val="en-US" w:eastAsia="en-US" w:bidi="hi-IN"/>
              </w:rPr>
            </w:pPr>
            <w:r w:rsidRPr="002E5F86">
              <w:rPr>
                <w:rFonts w:ascii="Times New Roman" w:eastAsia="Times New Roman" w:hAnsi="Times New Roman" w:cs="Times New Roman"/>
                <w:b/>
                <w:bCs/>
                <w:i/>
                <w:iCs/>
                <w:color w:val="000000"/>
                <w:sz w:val="24"/>
                <w:szCs w:val="24"/>
                <w:lang w:val="en-US" w:eastAsia="en-US" w:bidi="hi-IN"/>
              </w:rPr>
              <w:t>Current Assets</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0A922B6F" w14:textId="77777777" w:rsidR="003B07EA" w:rsidRPr="002E5F86" w:rsidRDefault="003B07EA" w:rsidP="00652892">
            <w:pPr>
              <w:spacing w:after="0" w:line="600" w:lineRule="auto"/>
              <w:jc w:val="right"/>
              <w:rPr>
                <w:rFonts w:ascii="Times New Roman" w:eastAsia="Times New Roman" w:hAnsi="Times New Roman" w:cs="Times New Roman"/>
                <w:b/>
                <w:bCs/>
                <w:i/>
                <w:iCs/>
                <w:color w:val="000000"/>
                <w:sz w:val="24"/>
                <w:szCs w:val="24"/>
                <w:lang w:val="en-US" w:eastAsia="en-US" w:bidi="hi-IN"/>
              </w:rPr>
            </w:pPr>
            <w:r w:rsidRPr="002E5F86">
              <w:rPr>
                <w:rFonts w:ascii="Times New Roman" w:eastAsia="Times New Roman" w:hAnsi="Times New Roman" w:cs="Times New Roman"/>
                <w:b/>
                <w:bCs/>
                <w:i/>
                <w:iCs/>
                <w:color w:val="000000"/>
                <w:sz w:val="24"/>
                <w:szCs w:val="24"/>
                <w:lang w:val="en-US" w:eastAsia="en-US" w:bidi="hi-IN"/>
              </w:rPr>
              <w:t> </w:t>
            </w:r>
          </w:p>
        </w:tc>
        <w:tc>
          <w:tcPr>
            <w:tcW w:w="1240" w:type="dxa"/>
            <w:tcBorders>
              <w:top w:val="single" w:sz="4" w:space="0" w:color="auto"/>
              <w:left w:val="nil"/>
              <w:bottom w:val="single" w:sz="4" w:space="0" w:color="auto"/>
              <w:right w:val="single" w:sz="4" w:space="0" w:color="auto"/>
            </w:tcBorders>
            <w:shd w:val="clear" w:color="000000" w:fill="B1A0C7"/>
            <w:noWrap/>
            <w:vAlign w:val="bottom"/>
            <w:hideMark/>
          </w:tcPr>
          <w:p w14:paraId="2498FDA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1C475EE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1A0C7"/>
            <w:noWrap/>
            <w:vAlign w:val="bottom"/>
            <w:hideMark/>
          </w:tcPr>
          <w:p w14:paraId="790FE9E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4074320E"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51F5EAC0"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Cash and cash equivalents</w:t>
            </w:r>
          </w:p>
        </w:tc>
        <w:tc>
          <w:tcPr>
            <w:tcW w:w="1120" w:type="dxa"/>
            <w:tcBorders>
              <w:top w:val="nil"/>
              <w:left w:val="nil"/>
              <w:bottom w:val="nil"/>
              <w:right w:val="single" w:sz="4" w:space="0" w:color="auto"/>
            </w:tcBorders>
            <w:shd w:val="clear" w:color="000000" w:fill="B7DEE8"/>
            <w:noWrap/>
            <w:vAlign w:val="bottom"/>
            <w:hideMark/>
          </w:tcPr>
          <w:p w14:paraId="623BB99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833</w:t>
            </w:r>
          </w:p>
        </w:tc>
        <w:tc>
          <w:tcPr>
            <w:tcW w:w="1240" w:type="dxa"/>
            <w:tcBorders>
              <w:top w:val="nil"/>
              <w:left w:val="nil"/>
              <w:bottom w:val="nil"/>
              <w:right w:val="single" w:sz="4" w:space="0" w:color="auto"/>
            </w:tcBorders>
            <w:shd w:val="clear" w:color="000000" w:fill="B7DEE8"/>
            <w:noWrap/>
            <w:vAlign w:val="bottom"/>
            <w:hideMark/>
          </w:tcPr>
          <w:p w14:paraId="284AC62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849</w:t>
            </w:r>
          </w:p>
        </w:tc>
        <w:tc>
          <w:tcPr>
            <w:tcW w:w="1120" w:type="dxa"/>
            <w:tcBorders>
              <w:top w:val="nil"/>
              <w:left w:val="nil"/>
              <w:bottom w:val="nil"/>
              <w:right w:val="single" w:sz="4" w:space="0" w:color="auto"/>
            </w:tcBorders>
            <w:shd w:val="clear" w:color="000000" w:fill="B7DEE8"/>
            <w:noWrap/>
            <w:vAlign w:val="bottom"/>
            <w:hideMark/>
          </w:tcPr>
          <w:p w14:paraId="57A0447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923</w:t>
            </w:r>
          </w:p>
        </w:tc>
        <w:tc>
          <w:tcPr>
            <w:tcW w:w="1120" w:type="dxa"/>
            <w:tcBorders>
              <w:top w:val="nil"/>
              <w:left w:val="nil"/>
              <w:bottom w:val="nil"/>
              <w:right w:val="single" w:sz="4" w:space="0" w:color="auto"/>
            </w:tcBorders>
            <w:shd w:val="clear" w:color="000000" w:fill="B7DEE8"/>
            <w:noWrap/>
            <w:vAlign w:val="bottom"/>
            <w:hideMark/>
          </w:tcPr>
          <w:p w14:paraId="3A6E9C6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1,333</w:t>
            </w:r>
          </w:p>
        </w:tc>
      </w:tr>
      <w:tr w:rsidR="003B07EA" w:rsidRPr="002E5F86" w14:paraId="245228E3" w14:textId="77777777" w:rsidTr="003B07EA">
        <w:trPr>
          <w:trHeight w:val="324"/>
        </w:trPr>
        <w:tc>
          <w:tcPr>
            <w:tcW w:w="5020" w:type="dxa"/>
            <w:tcBorders>
              <w:top w:val="nil"/>
              <w:left w:val="single" w:sz="4" w:space="0" w:color="auto"/>
              <w:bottom w:val="nil"/>
              <w:right w:val="single" w:sz="4" w:space="0" w:color="auto"/>
            </w:tcBorders>
            <w:shd w:val="clear" w:color="000000" w:fill="B7DEE8"/>
            <w:noWrap/>
            <w:vAlign w:val="bottom"/>
            <w:hideMark/>
          </w:tcPr>
          <w:p w14:paraId="44B113DC"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Trade and other receivables </w:t>
            </w:r>
          </w:p>
        </w:tc>
        <w:tc>
          <w:tcPr>
            <w:tcW w:w="1120" w:type="dxa"/>
            <w:tcBorders>
              <w:top w:val="nil"/>
              <w:left w:val="nil"/>
              <w:bottom w:val="nil"/>
              <w:right w:val="single" w:sz="4" w:space="0" w:color="auto"/>
            </w:tcBorders>
            <w:shd w:val="clear" w:color="000000" w:fill="B7DEE8"/>
            <w:noWrap/>
            <w:vAlign w:val="bottom"/>
            <w:hideMark/>
          </w:tcPr>
          <w:p w14:paraId="5853B16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603</w:t>
            </w:r>
          </w:p>
        </w:tc>
        <w:tc>
          <w:tcPr>
            <w:tcW w:w="1240" w:type="dxa"/>
            <w:tcBorders>
              <w:top w:val="nil"/>
              <w:left w:val="nil"/>
              <w:bottom w:val="nil"/>
              <w:right w:val="single" w:sz="4" w:space="0" w:color="auto"/>
            </w:tcBorders>
            <w:shd w:val="clear" w:color="000000" w:fill="B7DEE8"/>
            <w:noWrap/>
            <w:vAlign w:val="bottom"/>
            <w:hideMark/>
          </w:tcPr>
          <w:p w14:paraId="1DCA2F3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699</w:t>
            </w:r>
          </w:p>
        </w:tc>
        <w:tc>
          <w:tcPr>
            <w:tcW w:w="1120" w:type="dxa"/>
            <w:tcBorders>
              <w:top w:val="nil"/>
              <w:left w:val="nil"/>
              <w:bottom w:val="nil"/>
              <w:right w:val="single" w:sz="4" w:space="0" w:color="auto"/>
            </w:tcBorders>
            <w:shd w:val="clear" w:color="000000" w:fill="B7DEE8"/>
            <w:noWrap/>
            <w:vAlign w:val="bottom"/>
            <w:hideMark/>
          </w:tcPr>
          <w:p w14:paraId="70810BB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617</w:t>
            </w:r>
          </w:p>
        </w:tc>
        <w:tc>
          <w:tcPr>
            <w:tcW w:w="1120" w:type="dxa"/>
            <w:tcBorders>
              <w:top w:val="nil"/>
              <w:left w:val="nil"/>
              <w:bottom w:val="nil"/>
              <w:right w:val="single" w:sz="4" w:space="0" w:color="auto"/>
            </w:tcBorders>
            <w:shd w:val="clear" w:color="000000" w:fill="B7DEE8"/>
            <w:noWrap/>
            <w:vAlign w:val="bottom"/>
            <w:hideMark/>
          </w:tcPr>
          <w:p w14:paraId="21AA7B8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584</w:t>
            </w:r>
          </w:p>
        </w:tc>
      </w:tr>
      <w:tr w:rsidR="003B07EA" w:rsidRPr="002E5F86" w14:paraId="0E37539F"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7EF75870"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Inventories</w:t>
            </w:r>
          </w:p>
        </w:tc>
        <w:tc>
          <w:tcPr>
            <w:tcW w:w="1120" w:type="dxa"/>
            <w:tcBorders>
              <w:top w:val="nil"/>
              <w:left w:val="nil"/>
              <w:bottom w:val="nil"/>
              <w:right w:val="single" w:sz="4" w:space="0" w:color="auto"/>
            </w:tcBorders>
            <w:shd w:val="clear" w:color="000000" w:fill="B7DEE8"/>
            <w:noWrap/>
            <w:vAlign w:val="bottom"/>
            <w:hideMark/>
          </w:tcPr>
          <w:p w14:paraId="7208C7E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3,698</w:t>
            </w:r>
          </w:p>
        </w:tc>
        <w:tc>
          <w:tcPr>
            <w:tcW w:w="1240" w:type="dxa"/>
            <w:tcBorders>
              <w:top w:val="nil"/>
              <w:left w:val="nil"/>
              <w:bottom w:val="nil"/>
              <w:right w:val="single" w:sz="4" w:space="0" w:color="auto"/>
            </w:tcBorders>
            <w:shd w:val="clear" w:color="000000" w:fill="B7DEE8"/>
            <w:noWrap/>
            <w:vAlign w:val="bottom"/>
            <w:hideMark/>
          </w:tcPr>
          <w:p w14:paraId="55EAF06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4,205</w:t>
            </w:r>
          </w:p>
        </w:tc>
        <w:tc>
          <w:tcPr>
            <w:tcW w:w="1120" w:type="dxa"/>
            <w:tcBorders>
              <w:top w:val="nil"/>
              <w:left w:val="nil"/>
              <w:bottom w:val="nil"/>
              <w:right w:val="single" w:sz="4" w:space="0" w:color="auto"/>
            </w:tcBorders>
            <w:shd w:val="clear" w:color="000000" w:fill="B7DEE8"/>
            <w:noWrap/>
            <w:vAlign w:val="bottom"/>
            <w:hideMark/>
          </w:tcPr>
          <w:p w14:paraId="3116158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4693</w:t>
            </w:r>
          </w:p>
        </w:tc>
        <w:tc>
          <w:tcPr>
            <w:tcW w:w="1120" w:type="dxa"/>
            <w:tcBorders>
              <w:top w:val="nil"/>
              <w:left w:val="nil"/>
              <w:bottom w:val="nil"/>
              <w:right w:val="single" w:sz="4" w:space="0" w:color="auto"/>
            </w:tcBorders>
            <w:shd w:val="clear" w:color="000000" w:fill="B7DEE8"/>
            <w:noWrap/>
            <w:vAlign w:val="bottom"/>
            <w:hideMark/>
          </w:tcPr>
          <w:p w14:paraId="3745DCE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4,872</w:t>
            </w:r>
          </w:p>
        </w:tc>
      </w:tr>
      <w:tr w:rsidR="003B07EA" w:rsidRPr="002E5F86" w14:paraId="1912857C" w14:textId="77777777" w:rsidTr="003B07EA">
        <w:trPr>
          <w:trHeight w:val="324"/>
        </w:trPr>
        <w:tc>
          <w:tcPr>
            <w:tcW w:w="5020" w:type="dxa"/>
            <w:tcBorders>
              <w:top w:val="nil"/>
              <w:left w:val="single" w:sz="4" w:space="0" w:color="auto"/>
              <w:bottom w:val="nil"/>
              <w:right w:val="single" w:sz="4" w:space="0" w:color="auto"/>
            </w:tcBorders>
            <w:shd w:val="clear" w:color="000000" w:fill="B7DEE8"/>
            <w:noWrap/>
            <w:vAlign w:val="bottom"/>
            <w:hideMark/>
          </w:tcPr>
          <w:p w14:paraId="7B8FB0DB"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Other</w:t>
            </w:r>
          </w:p>
        </w:tc>
        <w:tc>
          <w:tcPr>
            <w:tcW w:w="1120" w:type="dxa"/>
            <w:tcBorders>
              <w:top w:val="nil"/>
              <w:left w:val="nil"/>
              <w:bottom w:val="nil"/>
              <w:right w:val="single" w:sz="4" w:space="0" w:color="auto"/>
            </w:tcBorders>
            <w:shd w:val="clear" w:color="000000" w:fill="B7DEE8"/>
            <w:noWrap/>
            <w:vAlign w:val="bottom"/>
            <w:hideMark/>
          </w:tcPr>
          <w:p w14:paraId="5280C74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401</w:t>
            </w:r>
          </w:p>
        </w:tc>
        <w:tc>
          <w:tcPr>
            <w:tcW w:w="1240" w:type="dxa"/>
            <w:tcBorders>
              <w:top w:val="nil"/>
              <w:left w:val="nil"/>
              <w:bottom w:val="nil"/>
              <w:right w:val="single" w:sz="4" w:space="0" w:color="auto"/>
            </w:tcBorders>
            <w:shd w:val="clear" w:color="000000" w:fill="B7DEE8"/>
            <w:noWrap/>
            <w:vAlign w:val="bottom"/>
            <w:hideMark/>
          </w:tcPr>
          <w:p w14:paraId="316ADE0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203</w:t>
            </w:r>
          </w:p>
        </w:tc>
        <w:tc>
          <w:tcPr>
            <w:tcW w:w="1120" w:type="dxa"/>
            <w:tcBorders>
              <w:top w:val="nil"/>
              <w:left w:val="nil"/>
              <w:bottom w:val="nil"/>
              <w:right w:val="single" w:sz="4" w:space="0" w:color="auto"/>
            </w:tcBorders>
            <w:shd w:val="clear" w:color="000000" w:fill="B7DEE8"/>
            <w:noWrap/>
            <w:vAlign w:val="bottom"/>
            <w:hideMark/>
          </w:tcPr>
          <w:p w14:paraId="6BD421C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633</w:t>
            </w:r>
          </w:p>
        </w:tc>
        <w:tc>
          <w:tcPr>
            <w:tcW w:w="1120" w:type="dxa"/>
            <w:tcBorders>
              <w:top w:val="nil"/>
              <w:left w:val="nil"/>
              <w:bottom w:val="nil"/>
              <w:right w:val="single" w:sz="4" w:space="0" w:color="auto"/>
            </w:tcBorders>
            <w:shd w:val="clear" w:color="000000" w:fill="B7DEE8"/>
            <w:noWrap/>
            <w:vAlign w:val="bottom"/>
            <w:hideMark/>
          </w:tcPr>
          <w:p w14:paraId="441FF54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570</w:t>
            </w:r>
          </w:p>
        </w:tc>
      </w:tr>
      <w:tr w:rsidR="003B07EA" w:rsidRPr="002E5F86" w14:paraId="533B741A"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769798D8"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Total Current Assets</w:t>
            </w:r>
          </w:p>
        </w:tc>
        <w:tc>
          <w:tcPr>
            <w:tcW w:w="1120" w:type="dxa"/>
            <w:tcBorders>
              <w:top w:val="nil"/>
              <w:left w:val="nil"/>
              <w:bottom w:val="nil"/>
              <w:right w:val="single" w:sz="4" w:space="0" w:color="auto"/>
            </w:tcBorders>
            <w:shd w:val="clear" w:color="000000" w:fill="B7DEE8"/>
            <w:noWrap/>
            <w:vAlign w:val="bottom"/>
            <w:hideMark/>
          </w:tcPr>
          <w:p w14:paraId="30CF9C84"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5535</w:t>
            </w:r>
          </w:p>
        </w:tc>
        <w:tc>
          <w:tcPr>
            <w:tcW w:w="1240" w:type="dxa"/>
            <w:tcBorders>
              <w:top w:val="nil"/>
              <w:left w:val="nil"/>
              <w:bottom w:val="nil"/>
              <w:right w:val="single" w:sz="4" w:space="0" w:color="auto"/>
            </w:tcBorders>
            <w:shd w:val="clear" w:color="000000" w:fill="B7DEE8"/>
            <w:noWrap/>
            <w:vAlign w:val="bottom"/>
            <w:hideMark/>
          </w:tcPr>
          <w:p w14:paraId="27B44C25"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5956</w:t>
            </w:r>
          </w:p>
        </w:tc>
        <w:tc>
          <w:tcPr>
            <w:tcW w:w="1120" w:type="dxa"/>
            <w:tcBorders>
              <w:top w:val="nil"/>
              <w:left w:val="nil"/>
              <w:bottom w:val="nil"/>
              <w:right w:val="single" w:sz="4" w:space="0" w:color="auto"/>
            </w:tcBorders>
            <w:shd w:val="clear" w:color="000000" w:fill="B7DEE8"/>
            <w:noWrap/>
            <w:vAlign w:val="bottom"/>
            <w:hideMark/>
          </w:tcPr>
          <w:p w14:paraId="4AD9F943"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6866</w:t>
            </w:r>
          </w:p>
        </w:tc>
        <w:tc>
          <w:tcPr>
            <w:tcW w:w="1120" w:type="dxa"/>
            <w:tcBorders>
              <w:top w:val="nil"/>
              <w:left w:val="nil"/>
              <w:bottom w:val="nil"/>
              <w:right w:val="single" w:sz="4" w:space="0" w:color="auto"/>
            </w:tcBorders>
            <w:shd w:val="clear" w:color="000000" w:fill="B7DEE8"/>
            <w:noWrap/>
            <w:vAlign w:val="bottom"/>
            <w:hideMark/>
          </w:tcPr>
          <w:p w14:paraId="273C66AB"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7359</w:t>
            </w:r>
          </w:p>
        </w:tc>
      </w:tr>
      <w:tr w:rsidR="003B07EA" w:rsidRPr="002E5F86" w14:paraId="6D6E4656"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AE1FC50" w14:textId="77777777" w:rsidR="003B07EA" w:rsidRPr="002E5F86" w:rsidRDefault="003B07EA" w:rsidP="00652892">
            <w:pPr>
              <w:spacing w:after="0" w:line="600" w:lineRule="auto"/>
              <w:rPr>
                <w:rFonts w:ascii="Times New Roman" w:eastAsia="Times New Roman" w:hAnsi="Times New Roman" w:cs="Times New Roman"/>
                <w:color w:val="000000"/>
                <w:sz w:val="24"/>
                <w:szCs w:val="24"/>
                <w:u w:val="single"/>
                <w:lang w:val="en-US" w:eastAsia="en-US" w:bidi="hi-IN"/>
              </w:rPr>
            </w:pPr>
            <w:r w:rsidRPr="002E5F86">
              <w:rPr>
                <w:rFonts w:ascii="Times New Roman" w:eastAsia="Times New Roman" w:hAnsi="Times New Roman" w:cs="Times New Roman"/>
                <w:color w:val="000000"/>
                <w:sz w:val="24"/>
                <w:szCs w:val="24"/>
                <w:u w:val="single"/>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A994DF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u w:val="single"/>
                <w:lang w:val="en-US" w:eastAsia="en-US" w:bidi="hi-IN"/>
              </w:rPr>
            </w:pPr>
            <w:r w:rsidRPr="002E5F86">
              <w:rPr>
                <w:rFonts w:ascii="Times New Roman" w:eastAsia="Times New Roman" w:hAnsi="Times New Roman" w:cs="Times New Roman"/>
                <w:color w:val="000000"/>
                <w:sz w:val="24"/>
                <w:szCs w:val="24"/>
                <w:u w:val="single"/>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26520DA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4E357C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10AA398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2640F73D"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3A8D3DF7"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Current Liabilities</w:t>
            </w:r>
          </w:p>
        </w:tc>
        <w:tc>
          <w:tcPr>
            <w:tcW w:w="1120" w:type="dxa"/>
            <w:tcBorders>
              <w:top w:val="nil"/>
              <w:left w:val="nil"/>
              <w:bottom w:val="nil"/>
              <w:right w:val="single" w:sz="4" w:space="0" w:color="auto"/>
            </w:tcBorders>
            <w:shd w:val="clear" w:color="000000" w:fill="B7DEE8"/>
            <w:noWrap/>
            <w:vAlign w:val="bottom"/>
            <w:hideMark/>
          </w:tcPr>
          <w:p w14:paraId="578EF5C9"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2277FDA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704BD7F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28AA3F09"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014BB159"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559B721"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7DD329E7"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28FB769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5202038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24E4F79"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7B964E70"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4FDF5562"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Accounts Payable</w:t>
            </w:r>
          </w:p>
        </w:tc>
        <w:tc>
          <w:tcPr>
            <w:tcW w:w="1120" w:type="dxa"/>
            <w:tcBorders>
              <w:top w:val="nil"/>
              <w:left w:val="nil"/>
              <w:bottom w:val="nil"/>
              <w:right w:val="single" w:sz="4" w:space="0" w:color="auto"/>
            </w:tcBorders>
            <w:shd w:val="clear" w:color="000000" w:fill="B7DEE8"/>
            <w:noWrap/>
            <w:vAlign w:val="bottom"/>
            <w:hideMark/>
          </w:tcPr>
          <w:p w14:paraId="45DB775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4,013</w:t>
            </w:r>
          </w:p>
        </w:tc>
        <w:tc>
          <w:tcPr>
            <w:tcW w:w="1240" w:type="dxa"/>
            <w:tcBorders>
              <w:top w:val="nil"/>
              <w:left w:val="nil"/>
              <w:bottom w:val="nil"/>
              <w:right w:val="single" w:sz="4" w:space="0" w:color="auto"/>
            </w:tcBorders>
            <w:shd w:val="clear" w:color="000000" w:fill="B7DEE8"/>
            <w:noWrap/>
            <w:vAlign w:val="bottom"/>
            <w:hideMark/>
          </w:tcPr>
          <w:p w14:paraId="0F7DB7F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4,080</w:t>
            </w:r>
          </w:p>
        </w:tc>
        <w:tc>
          <w:tcPr>
            <w:tcW w:w="1120" w:type="dxa"/>
            <w:tcBorders>
              <w:top w:val="nil"/>
              <w:left w:val="nil"/>
              <w:bottom w:val="nil"/>
              <w:right w:val="single" w:sz="4" w:space="0" w:color="auto"/>
            </w:tcBorders>
            <w:shd w:val="clear" w:color="000000" w:fill="B7DEE8"/>
            <w:noWrap/>
            <w:vAlign w:val="bottom"/>
            <w:hideMark/>
          </w:tcPr>
          <w:p w14:paraId="65067E0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4657</w:t>
            </w:r>
          </w:p>
        </w:tc>
        <w:tc>
          <w:tcPr>
            <w:tcW w:w="1120" w:type="dxa"/>
            <w:tcBorders>
              <w:top w:val="nil"/>
              <w:left w:val="nil"/>
              <w:bottom w:val="nil"/>
              <w:right w:val="single" w:sz="4" w:space="0" w:color="auto"/>
            </w:tcBorders>
            <w:shd w:val="clear" w:color="000000" w:fill="B7DEE8"/>
            <w:noWrap/>
            <w:vAlign w:val="bottom"/>
            <w:hideMark/>
          </w:tcPr>
          <w:p w14:paraId="451CC3F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5,040</w:t>
            </w:r>
          </w:p>
        </w:tc>
      </w:tr>
      <w:tr w:rsidR="003B07EA" w:rsidRPr="002E5F86" w14:paraId="0F410F5A" w14:textId="77777777" w:rsidTr="003B07EA">
        <w:trPr>
          <w:trHeight w:val="324"/>
        </w:trPr>
        <w:tc>
          <w:tcPr>
            <w:tcW w:w="5020" w:type="dxa"/>
            <w:tcBorders>
              <w:top w:val="nil"/>
              <w:left w:val="single" w:sz="4" w:space="0" w:color="auto"/>
              <w:bottom w:val="nil"/>
              <w:right w:val="single" w:sz="4" w:space="0" w:color="auto"/>
            </w:tcBorders>
            <w:shd w:val="clear" w:color="000000" w:fill="B7DEE8"/>
            <w:noWrap/>
            <w:vAlign w:val="bottom"/>
            <w:hideMark/>
          </w:tcPr>
          <w:p w14:paraId="504C26FB"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borrowings - current </w:t>
            </w:r>
          </w:p>
        </w:tc>
        <w:tc>
          <w:tcPr>
            <w:tcW w:w="1120" w:type="dxa"/>
            <w:tcBorders>
              <w:top w:val="nil"/>
              <w:left w:val="nil"/>
              <w:bottom w:val="nil"/>
              <w:right w:val="single" w:sz="4" w:space="0" w:color="auto"/>
            </w:tcBorders>
            <w:shd w:val="clear" w:color="000000" w:fill="B7DEE8"/>
            <w:noWrap/>
            <w:vAlign w:val="bottom"/>
            <w:hideMark/>
          </w:tcPr>
          <w:p w14:paraId="1480549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5144</w:t>
            </w:r>
          </w:p>
        </w:tc>
        <w:tc>
          <w:tcPr>
            <w:tcW w:w="1240" w:type="dxa"/>
            <w:tcBorders>
              <w:top w:val="nil"/>
              <w:left w:val="nil"/>
              <w:bottom w:val="nil"/>
              <w:right w:val="single" w:sz="4" w:space="0" w:color="auto"/>
            </w:tcBorders>
            <w:shd w:val="clear" w:color="000000" w:fill="B7DEE8"/>
            <w:noWrap/>
            <w:vAlign w:val="bottom"/>
            <w:hideMark/>
          </w:tcPr>
          <w:p w14:paraId="1A3AADF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4726</w:t>
            </w:r>
          </w:p>
        </w:tc>
        <w:tc>
          <w:tcPr>
            <w:tcW w:w="1120" w:type="dxa"/>
            <w:tcBorders>
              <w:top w:val="nil"/>
              <w:left w:val="nil"/>
              <w:bottom w:val="nil"/>
              <w:right w:val="single" w:sz="4" w:space="0" w:color="auto"/>
            </w:tcBorders>
            <w:shd w:val="clear" w:color="000000" w:fill="B7DEE8"/>
            <w:noWrap/>
            <w:vAlign w:val="bottom"/>
            <w:hideMark/>
          </w:tcPr>
          <w:p w14:paraId="583035D7"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4615</w:t>
            </w:r>
          </w:p>
        </w:tc>
        <w:tc>
          <w:tcPr>
            <w:tcW w:w="1120" w:type="dxa"/>
            <w:tcBorders>
              <w:top w:val="nil"/>
              <w:left w:val="nil"/>
              <w:bottom w:val="nil"/>
              <w:right w:val="single" w:sz="4" w:space="0" w:color="auto"/>
            </w:tcBorders>
            <w:shd w:val="clear" w:color="000000" w:fill="B7DEE8"/>
            <w:noWrap/>
            <w:vAlign w:val="bottom"/>
            <w:hideMark/>
          </w:tcPr>
          <w:p w14:paraId="4C8E6EE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4,725</w:t>
            </w:r>
          </w:p>
        </w:tc>
      </w:tr>
      <w:tr w:rsidR="003B07EA" w:rsidRPr="002E5F86" w14:paraId="260C9D94"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4DF6A019"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lastRenderedPageBreak/>
              <w:t>Provisions</w:t>
            </w:r>
          </w:p>
        </w:tc>
        <w:tc>
          <w:tcPr>
            <w:tcW w:w="1120" w:type="dxa"/>
            <w:tcBorders>
              <w:top w:val="nil"/>
              <w:left w:val="nil"/>
              <w:bottom w:val="nil"/>
              <w:right w:val="single" w:sz="4" w:space="0" w:color="auto"/>
            </w:tcBorders>
            <w:shd w:val="clear" w:color="000000" w:fill="B7DEE8"/>
            <w:noWrap/>
            <w:vAlign w:val="bottom"/>
            <w:hideMark/>
          </w:tcPr>
          <w:p w14:paraId="0968C5F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w:t>
            </w:r>
          </w:p>
        </w:tc>
        <w:tc>
          <w:tcPr>
            <w:tcW w:w="1240" w:type="dxa"/>
            <w:tcBorders>
              <w:top w:val="nil"/>
              <w:left w:val="nil"/>
              <w:bottom w:val="nil"/>
              <w:right w:val="single" w:sz="4" w:space="0" w:color="auto"/>
            </w:tcBorders>
            <w:shd w:val="clear" w:color="000000" w:fill="B7DEE8"/>
            <w:noWrap/>
            <w:vAlign w:val="bottom"/>
            <w:hideMark/>
          </w:tcPr>
          <w:p w14:paraId="137F30E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w:t>
            </w:r>
          </w:p>
        </w:tc>
        <w:tc>
          <w:tcPr>
            <w:tcW w:w="1120" w:type="dxa"/>
            <w:tcBorders>
              <w:top w:val="nil"/>
              <w:left w:val="nil"/>
              <w:bottom w:val="nil"/>
              <w:right w:val="single" w:sz="4" w:space="0" w:color="auto"/>
            </w:tcBorders>
            <w:shd w:val="clear" w:color="000000" w:fill="B7DEE8"/>
            <w:noWrap/>
            <w:vAlign w:val="bottom"/>
            <w:hideMark/>
          </w:tcPr>
          <w:p w14:paraId="1183F32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w:t>
            </w:r>
          </w:p>
        </w:tc>
        <w:tc>
          <w:tcPr>
            <w:tcW w:w="1120" w:type="dxa"/>
            <w:tcBorders>
              <w:top w:val="nil"/>
              <w:left w:val="nil"/>
              <w:bottom w:val="nil"/>
              <w:right w:val="single" w:sz="4" w:space="0" w:color="auto"/>
            </w:tcBorders>
            <w:shd w:val="clear" w:color="000000" w:fill="B7DEE8"/>
            <w:noWrap/>
            <w:vAlign w:val="bottom"/>
            <w:hideMark/>
          </w:tcPr>
          <w:p w14:paraId="0E13BB7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w:t>
            </w:r>
          </w:p>
        </w:tc>
      </w:tr>
      <w:tr w:rsidR="003B07EA" w:rsidRPr="002E5F86" w14:paraId="21B27A7C"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4D05F136"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Other </w:t>
            </w:r>
          </w:p>
        </w:tc>
        <w:tc>
          <w:tcPr>
            <w:tcW w:w="1120" w:type="dxa"/>
            <w:tcBorders>
              <w:top w:val="nil"/>
              <w:left w:val="nil"/>
              <w:bottom w:val="nil"/>
              <w:right w:val="single" w:sz="4" w:space="0" w:color="auto"/>
            </w:tcBorders>
            <w:shd w:val="clear" w:color="000000" w:fill="B7DEE8"/>
            <w:noWrap/>
            <w:vAlign w:val="bottom"/>
            <w:hideMark/>
          </w:tcPr>
          <w:p w14:paraId="7803722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765</w:t>
            </w:r>
          </w:p>
        </w:tc>
        <w:tc>
          <w:tcPr>
            <w:tcW w:w="1240" w:type="dxa"/>
            <w:tcBorders>
              <w:top w:val="nil"/>
              <w:left w:val="nil"/>
              <w:bottom w:val="nil"/>
              <w:right w:val="single" w:sz="4" w:space="0" w:color="auto"/>
            </w:tcBorders>
            <w:shd w:val="clear" w:color="000000" w:fill="B7DEE8"/>
            <w:noWrap/>
            <w:vAlign w:val="bottom"/>
            <w:hideMark/>
          </w:tcPr>
          <w:p w14:paraId="373FB56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555</w:t>
            </w:r>
          </w:p>
        </w:tc>
        <w:tc>
          <w:tcPr>
            <w:tcW w:w="1120" w:type="dxa"/>
            <w:tcBorders>
              <w:top w:val="nil"/>
              <w:left w:val="nil"/>
              <w:bottom w:val="nil"/>
              <w:right w:val="single" w:sz="4" w:space="0" w:color="auto"/>
            </w:tcBorders>
            <w:shd w:val="clear" w:color="000000" w:fill="B7DEE8"/>
            <w:noWrap/>
            <w:vAlign w:val="bottom"/>
            <w:hideMark/>
          </w:tcPr>
          <w:p w14:paraId="221E61D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540</w:t>
            </w:r>
          </w:p>
        </w:tc>
        <w:tc>
          <w:tcPr>
            <w:tcW w:w="1120" w:type="dxa"/>
            <w:tcBorders>
              <w:top w:val="nil"/>
              <w:left w:val="nil"/>
              <w:bottom w:val="nil"/>
              <w:right w:val="single" w:sz="4" w:space="0" w:color="auto"/>
            </w:tcBorders>
            <w:shd w:val="clear" w:color="000000" w:fill="B7DEE8"/>
            <w:noWrap/>
            <w:vAlign w:val="bottom"/>
            <w:hideMark/>
          </w:tcPr>
          <w:p w14:paraId="029B7A6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626</w:t>
            </w:r>
          </w:p>
        </w:tc>
      </w:tr>
      <w:tr w:rsidR="003B07EA" w:rsidRPr="002E5F86" w14:paraId="264A44B2"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5711B712"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Total Current Liability</w:t>
            </w:r>
          </w:p>
        </w:tc>
        <w:tc>
          <w:tcPr>
            <w:tcW w:w="1120" w:type="dxa"/>
            <w:tcBorders>
              <w:top w:val="nil"/>
              <w:left w:val="nil"/>
              <w:bottom w:val="single" w:sz="4" w:space="0" w:color="auto"/>
              <w:right w:val="single" w:sz="4" w:space="0" w:color="auto"/>
            </w:tcBorders>
            <w:shd w:val="clear" w:color="000000" w:fill="B7DEE8"/>
            <w:noWrap/>
            <w:vAlign w:val="bottom"/>
            <w:hideMark/>
          </w:tcPr>
          <w:p w14:paraId="5DA91E14"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9922</w:t>
            </w:r>
          </w:p>
        </w:tc>
        <w:tc>
          <w:tcPr>
            <w:tcW w:w="1240" w:type="dxa"/>
            <w:tcBorders>
              <w:top w:val="nil"/>
              <w:left w:val="nil"/>
              <w:bottom w:val="single" w:sz="4" w:space="0" w:color="auto"/>
              <w:right w:val="single" w:sz="4" w:space="0" w:color="auto"/>
            </w:tcBorders>
            <w:shd w:val="clear" w:color="000000" w:fill="B7DEE8"/>
            <w:noWrap/>
            <w:vAlign w:val="bottom"/>
            <w:hideMark/>
          </w:tcPr>
          <w:p w14:paraId="3BF3DEBA"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9361</w:t>
            </w:r>
          </w:p>
        </w:tc>
        <w:tc>
          <w:tcPr>
            <w:tcW w:w="1120" w:type="dxa"/>
            <w:tcBorders>
              <w:top w:val="nil"/>
              <w:left w:val="nil"/>
              <w:bottom w:val="single" w:sz="4" w:space="0" w:color="auto"/>
              <w:right w:val="single" w:sz="4" w:space="0" w:color="auto"/>
            </w:tcBorders>
            <w:shd w:val="clear" w:color="000000" w:fill="B7DEE8"/>
            <w:noWrap/>
            <w:vAlign w:val="bottom"/>
            <w:hideMark/>
          </w:tcPr>
          <w:p w14:paraId="15B449E8"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9812</w:t>
            </w:r>
          </w:p>
        </w:tc>
        <w:tc>
          <w:tcPr>
            <w:tcW w:w="1120" w:type="dxa"/>
            <w:tcBorders>
              <w:top w:val="nil"/>
              <w:left w:val="nil"/>
              <w:bottom w:val="single" w:sz="4" w:space="0" w:color="auto"/>
              <w:right w:val="single" w:sz="4" w:space="0" w:color="auto"/>
            </w:tcBorders>
            <w:shd w:val="clear" w:color="000000" w:fill="B7DEE8"/>
            <w:noWrap/>
            <w:vAlign w:val="bottom"/>
            <w:hideMark/>
          </w:tcPr>
          <w:p w14:paraId="408415EF"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10391</w:t>
            </w:r>
          </w:p>
        </w:tc>
      </w:tr>
      <w:tr w:rsidR="003B07EA" w:rsidRPr="002E5F86" w14:paraId="459D2760" w14:textId="77777777" w:rsidTr="003B07EA">
        <w:trPr>
          <w:trHeight w:val="324"/>
        </w:trPr>
        <w:tc>
          <w:tcPr>
            <w:tcW w:w="5020" w:type="dxa"/>
            <w:tcBorders>
              <w:top w:val="single" w:sz="4" w:space="0" w:color="auto"/>
              <w:left w:val="single" w:sz="4" w:space="0" w:color="auto"/>
              <w:bottom w:val="double" w:sz="6" w:space="0" w:color="auto"/>
              <w:right w:val="single" w:sz="4" w:space="0" w:color="auto"/>
            </w:tcBorders>
            <w:shd w:val="clear" w:color="000000" w:fill="B7DEE8"/>
            <w:noWrap/>
            <w:vAlign w:val="bottom"/>
            <w:hideMark/>
          </w:tcPr>
          <w:p w14:paraId="0A3A3676"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Net Current Assets</w:t>
            </w:r>
          </w:p>
        </w:tc>
        <w:tc>
          <w:tcPr>
            <w:tcW w:w="1120" w:type="dxa"/>
            <w:tcBorders>
              <w:top w:val="nil"/>
              <w:left w:val="nil"/>
              <w:bottom w:val="double" w:sz="6" w:space="0" w:color="auto"/>
              <w:right w:val="single" w:sz="4" w:space="0" w:color="auto"/>
            </w:tcBorders>
            <w:shd w:val="clear" w:color="000000" w:fill="B7DEE8"/>
            <w:noWrap/>
            <w:vAlign w:val="bottom"/>
            <w:hideMark/>
          </w:tcPr>
          <w:p w14:paraId="7647FF84"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-4387</w:t>
            </w:r>
          </w:p>
        </w:tc>
        <w:tc>
          <w:tcPr>
            <w:tcW w:w="1240" w:type="dxa"/>
            <w:tcBorders>
              <w:top w:val="nil"/>
              <w:left w:val="nil"/>
              <w:bottom w:val="double" w:sz="6" w:space="0" w:color="auto"/>
              <w:right w:val="single" w:sz="4" w:space="0" w:color="auto"/>
            </w:tcBorders>
            <w:shd w:val="clear" w:color="000000" w:fill="B7DEE8"/>
            <w:noWrap/>
            <w:vAlign w:val="bottom"/>
            <w:hideMark/>
          </w:tcPr>
          <w:p w14:paraId="43226310"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-3405</w:t>
            </w:r>
          </w:p>
        </w:tc>
        <w:tc>
          <w:tcPr>
            <w:tcW w:w="1120" w:type="dxa"/>
            <w:tcBorders>
              <w:top w:val="nil"/>
              <w:left w:val="nil"/>
              <w:bottom w:val="double" w:sz="6" w:space="0" w:color="auto"/>
              <w:right w:val="single" w:sz="4" w:space="0" w:color="auto"/>
            </w:tcBorders>
            <w:shd w:val="clear" w:color="000000" w:fill="B7DEE8"/>
            <w:noWrap/>
            <w:vAlign w:val="bottom"/>
            <w:hideMark/>
          </w:tcPr>
          <w:p w14:paraId="193F3D3F"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-2946</w:t>
            </w:r>
          </w:p>
        </w:tc>
        <w:tc>
          <w:tcPr>
            <w:tcW w:w="1120" w:type="dxa"/>
            <w:tcBorders>
              <w:top w:val="nil"/>
              <w:left w:val="nil"/>
              <w:bottom w:val="double" w:sz="6" w:space="0" w:color="auto"/>
              <w:right w:val="single" w:sz="4" w:space="0" w:color="auto"/>
            </w:tcBorders>
            <w:shd w:val="clear" w:color="000000" w:fill="B7DEE8"/>
            <w:noWrap/>
            <w:vAlign w:val="bottom"/>
            <w:hideMark/>
          </w:tcPr>
          <w:p w14:paraId="2A1D6AF6"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-3032</w:t>
            </w:r>
          </w:p>
        </w:tc>
      </w:tr>
      <w:tr w:rsidR="003B07EA" w:rsidRPr="002E5F86" w14:paraId="3DE709A9" w14:textId="77777777" w:rsidTr="003B07EA">
        <w:trPr>
          <w:trHeight w:val="324"/>
        </w:trPr>
        <w:tc>
          <w:tcPr>
            <w:tcW w:w="5020" w:type="dxa"/>
            <w:tcBorders>
              <w:top w:val="nil"/>
              <w:left w:val="single" w:sz="4" w:space="0" w:color="auto"/>
              <w:bottom w:val="nil"/>
              <w:right w:val="single" w:sz="4" w:space="0" w:color="auto"/>
            </w:tcBorders>
            <w:shd w:val="clear" w:color="000000" w:fill="B7DEE8"/>
            <w:noWrap/>
            <w:vAlign w:val="bottom"/>
            <w:hideMark/>
          </w:tcPr>
          <w:p w14:paraId="38FC56B5"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4397268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18AD316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u w:val="double"/>
                <w:lang w:val="en-US" w:eastAsia="en-US" w:bidi="hi-IN"/>
              </w:rPr>
            </w:pPr>
            <w:r w:rsidRPr="002E5F86">
              <w:rPr>
                <w:rFonts w:ascii="Times New Roman" w:eastAsia="Times New Roman" w:hAnsi="Times New Roman" w:cs="Times New Roman"/>
                <w:color w:val="000000"/>
                <w:sz w:val="24"/>
                <w:szCs w:val="24"/>
                <w:u w:val="single"/>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474C1C2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4DE0A35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5FF31AC7"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636A760E"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proofErr w:type="spellStart"/>
            <w:r w:rsidRPr="002E5F86">
              <w:rPr>
                <w:rFonts w:ascii="Times New Roman" w:eastAsia="Times New Roman" w:hAnsi="Times New Roman" w:cs="Times New Roman"/>
                <w:b/>
                <w:bCs/>
                <w:color w:val="000000"/>
                <w:sz w:val="24"/>
                <w:szCs w:val="24"/>
                <w:lang w:val="en-US" w:eastAsia="en-US" w:bidi="hi-IN"/>
              </w:rPr>
              <w:t>Non Current</w:t>
            </w:r>
            <w:proofErr w:type="spellEnd"/>
            <w:r w:rsidRPr="002E5F86">
              <w:rPr>
                <w:rFonts w:ascii="Times New Roman" w:eastAsia="Times New Roman" w:hAnsi="Times New Roman" w:cs="Times New Roman"/>
                <w:b/>
                <w:bCs/>
                <w:color w:val="000000"/>
                <w:sz w:val="24"/>
                <w:szCs w:val="24"/>
                <w:lang w:val="en-US" w:eastAsia="en-US" w:bidi="hi-IN"/>
              </w:rPr>
              <w:t xml:space="preserve"> Assets</w:t>
            </w:r>
          </w:p>
        </w:tc>
        <w:tc>
          <w:tcPr>
            <w:tcW w:w="1120" w:type="dxa"/>
            <w:tcBorders>
              <w:top w:val="nil"/>
              <w:left w:val="nil"/>
              <w:bottom w:val="nil"/>
              <w:right w:val="single" w:sz="4" w:space="0" w:color="auto"/>
            </w:tcBorders>
            <w:shd w:val="clear" w:color="000000" w:fill="B7DEE8"/>
            <w:noWrap/>
            <w:vAlign w:val="bottom"/>
            <w:hideMark/>
          </w:tcPr>
          <w:p w14:paraId="063FD2E0"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5989A268"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1028511E"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75BC9D7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3B76401C"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0C573810"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90E634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08036DB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695C86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B36AC2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5086FC0A"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2864F02"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3591DB97"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c>
          <w:tcPr>
            <w:tcW w:w="1240" w:type="dxa"/>
            <w:tcBorders>
              <w:top w:val="single" w:sz="4" w:space="0" w:color="auto"/>
              <w:left w:val="nil"/>
              <w:bottom w:val="single" w:sz="4" w:space="0" w:color="auto"/>
              <w:right w:val="single" w:sz="4" w:space="0" w:color="auto"/>
            </w:tcBorders>
            <w:shd w:val="clear" w:color="000000" w:fill="B7DEE8"/>
            <w:noWrap/>
            <w:vAlign w:val="bottom"/>
            <w:hideMark/>
          </w:tcPr>
          <w:p w14:paraId="37A1FDDB"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5C9497C5"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4B8F38E8"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r>
      <w:tr w:rsidR="003B07EA" w:rsidRPr="002E5F86" w14:paraId="2CC2F784"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657FEAB7"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Property, Plant and Equipment</w:t>
            </w:r>
          </w:p>
        </w:tc>
        <w:tc>
          <w:tcPr>
            <w:tcW w:w="1120" w:type="dxa"/>
            <w:tcBorders>
              <w:top w:val="nil"/>
              <w:left w:val="nil"/>
              <w:bottom w:val="nil"/>
              <w:right w:val="single" w:sz="4" w:space="0" w:color="auto"/>
            </w:tcBorders>
            <w:shd w:val="clear" w:color="000000" w:fill="B7DEE8"/>
            <w:noWrap/>
            <w:vAlign w:val="bottom"/>
            <w:hideMark/>
          </w:tcPr>
          <w:p w14:paraId="775C5B9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12,077</w:t>
            </w:r>
          </w:p>
        </w:tc>
        <w:tc>
          <w:tcPr>
            <w:tcW w:w="1240" w:type="dxa"/>
            <w:tcBorders>
              <w:top w:val="nil"/>
              <w:left w:val="nil"/>
              <w:bottom w:val="nil"/>
              <w:right w:val="single" w:sz="4" w:space="0" w:color="auto"/>
            </w:tcBorders>
            <w:shd w:val="clear" w:color="000000" w:fill="B7DEE8"/>
            <w:noWrap/>
            <w:vAlign w:val="bottom"/>
            <w:hideMark/>
          </w:tcPr>
          <w:p w14:paraId="2D32023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12,105</w:t>
            </w:r>
          </w:p>
        </w:tc>
        <w:tc>
          <w:tcPr>
            <w:tcW w:w="1120" w:type="dxa"/>
            <w:tcBorders>
              <w:top w:val="nil"/>
              <w:left w:val="nil"/>
              <w:bottom w:val="nil"/>
              <w:right w:val="single" w:sz="4" w:space="0" w:color="auto"/>
            </w:tcBorders>
            <w:shd w:val="clear" w:color="000000" w:fill="B7DEE8"/>
            <w:noWrap/>
            <w:vAlign w:val="bottom"/>
            <w:hideMark/>
          </w:tcPr>
          <w:p w14:paraId="728C2D3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12,602</w:t>
            </w:r>
          </w:p>
        </w:tc>
        <w:tc>
          <w:tcPr>
            <w:tcW w:w="1120" w:type="dxa"/>
            <w:tcBorders>
              <w:top w:val="nil"/>
              <w:left w:val="nil"/>
              <w:bottom w:val="nil"/>
              <w:right w:val="single" w:sz="4" w:space="0" w:color="auto"/>
            </w:tcBorders>
            <w:shd w:val="clear" w:color="000000" w:fill="B7DEE8"/>
            <w:noWrap/>
            <w:vAlign w:val="bottom"/>
            <w:hideMark/>
          </w:tcPr>
          <w:p w14:paraId="06B0193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13,295</w:t>
            </w:r>
          </w:p>
        </w:tc>
      </w:tr>
      <w:tr w:rsidR="003B07EA" w:rsidRPr="002E5F86" w14:paraId="61E58B4D" w14:textId="77777777" w:rsidTr="003B07EA">
        <w:trPr>
          <w:trHeight w:val="312"/>
        </w:trPr>
        <w:tc>
          <w:tcPr>
            <w:tcW w:w="5020" w:type="dxa"/>
            <w:tcBorders>
              <w:top w:val="nil"/>
              <w:left w:val="single" w:sz="4" w:space="0" w:color="auto"/>
              <w:bottom w:val="nil"/>
              <w:right w:val="nil"/>
            </w:tcBorders>
            <w:shd w:val="clear" w:color="000000" w:fill="B7DEE8"/>
            <w:noWrap/>
            <w:vAlign w:val="bottom"/>
            <w:hideMark/>
          </w:tcPr>
          <w:p w14:paraId="4E9E5BD1"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Long term investment</w:t>
            </w:r>
          </w:p>
        </w:tc>
        <w:tc>
          <w:tcPr>
            <w:tcW w:w="1120" w:type="dxa"/>
            <w:tcBorders>
              <w:top w:val="nil"/>
              <w:left w:val="single" w:sz="4" w:space="0" w:color="auto"/>
              <w:bottom w:val="nil"/>
              <w:right w:val="single" w:sz="4" w:space="0" w:color="auto"/>
            </w:tcBorders>
            <w:shd w:val="clear" w:color="000000" w:fill="B7DEE8"/>
            <w:noWrap/>
            <w:vAlign w:val="bottom"/>
            <w:hideMark/>
          </w:tcPr>
          <w:p w14:paraId="2C354B1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102</w:t>
            </w:r>
          </w:p>
        </w:tc>
        <w:tc>
          <w:tcPr>
            <w:tcW w:w="1240" w:type="dxa"/>
            <w:tcBorders>
              <w:top w:val="nil"/>
              <w:left w:val="nil"/>
              <w:bottom w:val="nil"/>
              <w:right w:val="single" w:sz="4" w:space="0" w:color="auto"/>
            </w:tcBorders>
            <w:shd w:val="clear" w:color="000000" w:fill="B7DEE8"/>
            <w:noWrap/>
            <w:vAlign w:val="bottom"/>
            <w:hideMark/>
          </w:tcPr>
          <w:p w14:paraId="138EE6A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170</w:t>
            </w:r>
          </w:p>
        </w:tc>
        <w:tc>
          <w:tcPr>
            <w:tcW w:w="1120" w:type="dxa"/>
            <w:tcBorders>
              <w:top w:val="nil"/>
              <w:left w:val="nil"/>
              <w:bottom w:val="nil"/>
              <w:right w:val="single" w:sz="4" w:space="0" w:color="auto"/>
            </w:tcBorders>
            <w:shd w:val="clear" w:color="000000" w:fill="B7DEE8"/>
            <w:noWrap/>
            <w:vAlign w:val="bottom"/>
            <w:hideMark/>
          </w:tcPr>
          <w:p w14:paraId="6C3490E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173</w:t>
            </w:r>
          </w:p>
        </w:tc>
        <w:tc>
          <w:tcPr>
            <w:tcW w:w="1120" w:type="dxa"/>
            <w:tcBorders>
              <w:top w:val="nil"/>
              <w:left w:val="nil"/>
              <w:bottom w:val="nil"/>
              <w:right w:val="single" w:sz="4" w:space="0" w:color="auto"/>
            </w:tcBorders>
            <w:shd w:val="clear" w:color="000000" w:fill="B7DEE8"/>
            <w:noWrap/>
            <w:vAlign w:val="bottom"/>
            <w:hideMark/>
          </w:tcPr>
          <w:p w14:paraId="37A8CDA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102</w:t>
            </w:r>
          </w:p>
        </w:tc>
      </w:tr>
      <w:tr w:rsidR="003B07EA" w:rsidRPr="002E5F86" w14:paraId="5D83BCE0"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3E1E05CE"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Intangible Assets</w:t>
            </w:r>
          </w:p>
        </w:tc>
        <w:tc>
          <w:tcPr>
            <w:tcW w:w="1120" w:type="dxa"/>
            <w:tcBorders>
              <w:top w:val="nil"/>
              <w:left w:val="nil"/>
              <w:bottom w:val="nil"/>
              <w:right w:val="single" w:sz="4" w:space="0" w:color="auto"/>
            </w:tcBorders>
            <w:shd w:val="clear" w:color="000000" w:fill="B7DEE8"/>
            <w:noWrap/>
            <w:vAlign w:val="bottom"/>
            <w:hideMark/>
          </w:tcPr>
          <w:p w14:paraId="20D17AD7"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3,222</w:t>
            </w:r>
          </w:p>
        </w:tc>
        <w:tc>
          <w:tcPr>
            <w:tcW w:w="1240" w:type="dxa"/>
            <w:tcBorders>
              <w:top w:val="nil"/>
              <w:left w:val="nil"/>
              <w:bottom w:val="nil"/>
              <w:right w:val="single" w:sz="4" w:space="0" w:color="auto"/>
            </w:tcBorders>
            <w:shd w:val="clear" w:color="000000" w:fill="B7DEE8"/>
            <w:noWrap/>
            <w:vAlign w:val="bottom"/>
            <w:hideMark/>
          </w:tcPr>
          <w:p w14:paraId="1F625D2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3,401</w:t>
            </w:r>
          </w:p>
        </w:tc>
        <w:tc>
          <w:tcPr>
            <w:tcW w:w="1120" w:type="dxa"/>
            <w:tcBorders>
              <w:top w:val="nil"/>
              <w:left w:val="nil"/>
              <w:bottom w:val="nil"/>
              <w:right w:val="single" w:sz="4" w:space="0" w:color="auto"/>
            </w:tcBorders>
            <w:shd w:val="clear" w:color="000000" w:fill="B7DEE8"/>
            <w:noWrap/>
            <w:vAlign w:val="bottom"/>
            <w:hideMark/>
          </w:tcPr>
          <w:p w14:paraId="1B9B785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3882</w:t>
            </w:r>
          </w:p>
        </w:tc>
        <w:tc>
          <w:tcPr>
            <w:tcW w:w="1120" w:type="dxa"/>
            <w:tcBorders>
              <w:top w:val="nil"/>
              <w:left w:val="nil"/>
              <w:bottom w:val="nil"/>
              <w:right w:val="single" w:sz="4" w:space="0" w:color="auto"/>
            </w:tcBorders>
            <w:shd w:val="clear" w:color="000000" w:fill="B7DEE8"/>
            <w:noWrap/>
            <w:vAlign w:val="bottom"/>
            <w:hideMark/>
          </w:tcPr>
          <w:p w14:paraId="36650BD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3,826</w:t>
            </w:r>
          </w:p>
        </w:tc>
      </w:tr>
      <w:tr w:rsidR="003B07EA" w:rsidRPr="002E5F86" w14:paraId="50452294"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1F1B6B1"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Deferred Tax Assets</w:t>
            </w:r>
          </w:p>
        </w:tc>
        <w:tc>
          <w:tcPr>
            <w:tcW w:w="1120" w:type="dxa"/>
            <w:tcBorders>
              <w:top w:val="nil"/>
              <w:left w:val="nil"/>
              <w:bottom w:val="nil"/>
              <w:right w:val="single" w:sz="4" w:space="0" w:color="auto"/>
            </w:tcBorders>
            <w:shd w:val="clear" w:color="000000" w:fill="B7DEE8"/>
            <w:noWrap/>
            <w:vAlign w:val="bottom"/>
            <w:hideMark/>
          </w:tcPr>
          <w:p w14:paraId="50FA6B8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645</w:t>
            </w:r>
          </w:p>
        </w:tc>
        <w:tc>
          <w:tcPr>
            <w:tcW w:w="1240" w:type="dxa"/>
            <w:tcBorders>
              <w:top w:val="nil"/>
              <w:left w:val="nil"/>
              <w:bottom w:val="nil"/>
              <w:right w:val="single" w:sz="4" w:space="0" w:color="auto"/>
            </w:tcBorders>
            <w:shd w:val="clear" w:color="000000" w:fill="B7DEE8"/>
            <w:noWrap/>
            <w:vAlign w:val="bottom"/>
            <w:hideMark/>
          </w:tcPr>
          <w:p w14:paraId="31FD1CD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618</w:t>
            </w:r>
          </w:p>
        </w:tc>
        <w:tc>
          <w:tcPr>
            <w:tcW w:w="1120" w:type="dxa"/>
            <w:tcBorders>
              <w:top w:val="nil"/>
              <w:left w:val="nil"/>
              <w:bottom w:val="nil"/>
              <w:right w:val="single" w:sz="4" w:space="0" w:color="auto"/>
            </w:tcBorders>
            <w:shd w:val="clear" w:color="000000" w:fill="B7DEE8"/>
            <w:noWrap/>
            <w:vAlign w:val="bottom"/>
            <w:hideMark/>
          </w:tcPr>
          <w:p w14:paraId="5647964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682</w:t>
            </w:r>
          </w:p>
        </w:tc>
        <w:tc>
          <w:tcPr>
            <w:tcW w:w="1120" w:type="dxa"/>
            <w:tcBorders>
              <w:top w:val="nil"/>
              <w:left w:val="nil"/>
              <w:bottom w:val="nil"/>
              <w:right w:val="single" w:sz="4" w:space="0" w:color="auto"/>
            </w:tcBorders>
            <w:shd w:val="clear" w:color="000000" w:fill="B7DEE8"/>
            <w:noWrap/>
            <w:vAlign w:val="bottom"/>
            <w:hideMark/>
          </w:tcPr>
          <w:p w14:paraId="135C200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755</w:t>
            </w:r>
          </w:p>
        </w:tc>
      </w:tr>
      <w:tr w:rsidR="003B07EA" w:rsidRPr="002E5F86" w14:paraId="00BEFA15" w14:textId="77777777" w:rsidTr="003B07EA">
        <w:trPr>
          <w:trHeight w:val="312"/>
        </w:trPr>
        <w:tc>
          <w:tcPr>
            <w:tcW w:w="5020" w:type="dxa"/>
            <w:tcBorders>
              <w:top w:val="nil"/>
              <w:left w:val="single" w:sz="4" w:space="0" w:color="auto"/>
              <w:bottom w:val="single" w:sz="4" w:space="0" w:color="auto"/>
              <w:right w:val="single" w:sz="4" w:space="0" w:color="auto"/>
            </w:tcBorders>
            <w:shd w:val="clear" w:color="000000" w:fill="B7DEE8"/>
            <w:noWrap/>
            <w:vAlign w:val="bottom"/>
            <w:hideMark/>
          </w:tcPr>
          <w:p w14:paraId="074C5B8A"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Total Non-Current Assets</w:t>
            </w:r>
          </w:p>
        </w:tc>
        <w:tc>
          <w:tcPr>
            <w:tcW w:w="1120" w:type="dxa"/>
            <w:tcBorders>
              <w:top w:val="nil"/>
              <w:left w:val="nil"/>
              <w:bottom w:val="single" w:sz="4" w:space="0" w:color="auto"/>
              <w:right w:val="single" w:sz="4" w:space="0" w:color="auto"/>
            </w:tcBorders>
            <w:shd w:val="clear" w:color="000000" w:fill="B7DEE8"/>
            <w:noWrap/>
            <w:vAlign w:val="bottom"/>
            <w:hideMark/>
          </w:tcPr>
          <w:p w14:paraId="17607375"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16,046</w:t>
            </w:r>
          </w:p>
        </w:tc>
        <w:tc>
          <w:tcPr>
            <w:tcW w:w="1240" w:type="dxa"/>
            <w:tcBorders>
              <w:top w:val="nil"/>
              <w:left w:val="nil"/>
              <w:bottom w:val="single" w:sz="4" w:space="0" w:color="auto"/>
              <w:right w:val="single" w:sz="4" w:space="0" w:color="auto"/>
            </w:tcBorders>
            <w:shd w:val="clear" w:color="000000" w:fill="B7DEE8"/>
            <w:noWrap/>
            <w:vAlign w:val="bottom"/>
            <w:hideMark/>
          </w:tcPr>
          <w:p w14:paraId="6A3A1D6D"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16,294</w:t>
            </w:r>
          </w:p>
        </w:tc>
        <w:tc>
          <w:tcPr>
            <w:tcW w:w="1120" w:type="dxa"/>
            <w:tcBorders>
              <w:top w:val="nil"/>
              <w:left w:val="nil"/>
              <w:bottom w:val="single" w:sz="4" w:space="0" w:color="auto"/>
              <w:right w:val="single" w:sz="4" w:space="0" w:color="auto"/>
            </w:tcBorders>
            <w:shd w:val="clear" w:color="000000" w:fill="B7DEE8"/>
            <w:noWrap/>
            <w:vAlign w:val="bottom"/>
            <w:hideMark/>
          </w:tcPr>
          <w:p w14:paraId="5287DB34"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17,339</w:t>
            </w:r>
          </w:p>
        </w:tc>
        <w:tc>
          <w:tcPr>
            <w:tcW w:w="1120" w:type="dxa"/>
            <w:tcBorders>
              <w:top w:val="nil"/>
              <w:left w:val="nil"/>
              <w:bottom w:val="single" w:sz="4" w:space="0" w:color="auto"/>
              <w:right w:val="single" w:sz="4" w:space="0" w:color="auto"/>
            </w:tcBorders>
            <w:shd w:val="clear" w:color="000000" w:fill="B7DEE8"/>
            <w:noWrap/>
            <w:vAlign w:val="bottom"/>
            <w:hideMark/>
          </w:tcPr>
          <w:p w14:paraId="40F1365A"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17,978</w:t>
            </w:r>
          </w:p>
        </w:tc>
      </w:tr>
      <w:tr w:rsidR="003B07EA" w:rsidRPr="002E5F86" w14:paraId="28F673D2"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398CB3DF"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65DD4D59"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75ED44B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2A731F1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1D7B945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159D41DA"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11C60B32"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Non-Current Liabilities</w:t>
            </w:r>
          </w:p>
        </w:tc>
        <w:tc>
          <w:tcPr>
            <w:tcW w:w="1120" w:type="dxa"/>
            <w:tcBorders>
              <w:top w:val="nil"/>
              <w:left w:val="nil"/>
              <w:bottom w:val="nil"/>
              <w:right w:val="single" w:sz="4" w:space="0" w:color="auto"/>
            </w:tcBorders>
            <w:shd w:val="clear" w:color="000000" w:fill="B7DEE8"/>
            <w:noWrap/>
            <w:vAlign w:val="bottom"/>
            <w:hideMark/>
          </w:tcPr>
          <w:p w14:paraId="75A830B6"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5061B51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4F6E3B9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52F17EE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21BB28E9"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4CF3FFF1"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47AE9FC9"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1134B6B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2E51618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316EE2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20869852"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41D24DA"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Long term debt</w:t>
            </w:r>
          </w:p>
        </w:tc>
        <w:tc>
          <w:tcPr>
            <w:tcW w:w="1120" w:type="dxa"/>
            <w:tcBorders>
              <w:top w:val="nil"/>
              <w:left w:val="nil"/>
              <w:bottom w:val="nil"/>
              <w:right w:val="single" w:sz="4" w:space="0" w:color="auto"/>
            </w:tcBorders>
            <w:shd w:val="clear" w:color="000000" w:fill="B7DEE8"/>
            <w:noWrap/>
            <w:vAlign w:val="bottom"/>
            <w:hideMark/>
          </w:tcPr>
          <w:p w14:paraId="0D1B7E2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4,988</w:t>
            </w:r>
          </w:p>
        </w:tc>
        <w:tc>
          <w:tcPr>
            <w:tcW w:w="1240" w:type="dxa"/>
            <w:tcBorders>
              <w:top w:val="nil"/>
              <w:left w:val="nil"/>
              <w:bottom w:val="nil"/>
              <w:right w:val="single" w:sz="4" w:space="0" w:color="auto"/>
            </w:tcBorders>
            <w:shd w:val="clear" w:color="000000" w:fill="B7DEE8"/>
            <w:noWrap/>
            <w:vAlign w:val="bottom"/>
            <w:hideMark/>
          </w:tcPr>
          <w:p w14:paraId="72C2CE5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4,455</w:t>
            </w:r>
          </w:p>
        </w:tc>
        <w:tc>
          <w:tcPr>
            <w:tcW w:w="1120" w:type="dxa"/>
            <w:tcBorders>
              <w:top w:val="nil"/>
              <w:left w:val="nil"/>
              <w:bottom w:val="nil"/>
              <w:right w:val="single" w:sz="4" w:space="0" w:color="auto"/>
            </w:tcBorders>
            <w:shd w:val="clear" w:color="000000" w:fill="B7DEE8"/>
            <w:noWrap/>
            <w:vAlign w:val="bottom"/>
            <w:hideMark/>
          </w:tcPr>
          <w:p w14:paraId="3673DB3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4298</w:t>
            </w:r>
          </w:p>
        </w:tc>
        <w:tc>
          <w:tcPr>
            <w:tcW w:w="1120" w:type="dxa"/>
            <w:tcBorders>
              <w:top w:val="nil"/>
              <w:left w:val="nil"/>
              <w:bottom w:val="nil"/>
              <w:right w:val="single" w:sz="4" w:space="0" w:color="auto"/>
            </w:tcBorders>
            <w:shd w:val="clear" w:color="000000" w:fill="B7DEE8"/>
            <w:noWrap/>
            <w:vAlign w:val="bottom"/>
            <w:hideMark/>
          </w:tcPr>
          <w:p w14:paraId="15ACC82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3076</w:t>
            </w:r>
          </w:p>
        </w:tc>
      </w:tr>
      <w:tr w:rsidR="003B07EA" w:rsidRPr="002E5F86" w14:paraId="46F48D0F"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668E3EB4"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Other</w:t>
            </w:r>
          </w:p>
        </w:tc>
        <w:tc>
          <w:tcPr>
            <w:tcW w:w="1120" w:type="dxa"/>
            <w:tcBorders>
              <w:top w:val="nil"/>
              <w:left w:val="nil"/>
              <w:bottom w:val="nil"/>
              <w:right w:val="single" w:sz="4" w:space="0" w:color="auto"/>
            </w:tcBorders>
            <w:shd w:val="clear" w:color="000000" w:fill="B7DEE8"/>
            <w:noWrap/>
            <w:vAlign w:val="bottom"/>
            <w:hideMark/>
          </w:tcPr>
          <w:p w14:paraId="7A08731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-705</w:t>
            </w:r>
          </w:p>
        </w:tc>
        <w:tc>
          <w:tcPr>
            <w:tcW w:w="1240" w:type="dxa"/>
            <w:tcBorders>
              <w:top w:val="nil"/>
              <w:left w:val="nil"/>
              <w:bottom w:val="nil"/>
              <w:right w:val="single" w:sz="4" w:space="0" w:color="auto"/>
            </w:tcBorders>
            <w:shd w:val="clear" w:color="000000" w:fill="B7DEE8"/>
            <w:noWrap/>
            <w:vAlign w:val="bottom"/>
            <w:hideMark/>
          </w:tcPr>
          <w:p w14:paraId="3133B17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389</w:t>
            </w:r>
          </w:p>
        </w:tc>
        <w:tc>
          <w:tcPr>
            <w:tcW w:w="1120" w:type="dxa"/>
            <w:tcBorders>
              <w:top w:val="nil"/>
              <w:left w:val="nil"/>
              <w:bottom w:val="nil"/>
              <w:right w:val="single" w:sz="4" w:space="0" w:color="auto"/>
            </w:tcBorders>
            <w:shd w:val="clear" w:color="000000" w:fill="B7DEE8"/>
            <w:noWrap/>
            <w:vAlign w:val="bottom"/>
            <w:hideMark/>
          </w:tcPr>
          <w:p w14:paraId="272CDF8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95</w:t>
            </w:r>
          </w:p>
        </w:tc>
        <w:tc>
          <w:tcPr>
            <w:tcW w:w="1120" w:type="dxa"/>
            <w:tcBorders>
              <w:top w:val="nil"/>
              <w:left w:val="nil"/>
              <w:bottom w:val="nil"/>
              <w:right w:val="single" w:sz="4" w:space="0" w:color="auto"/>
            </w:tcBorders>
            <w:shd w:val="clear" w:color="000000" w:fill="B7DEE8"/>
            <w:noWrap/>
            <w:vAlign w:val="bottom"/>
            <w:hideMark/>
          </w:tcPr>
          <w:p w14:paraId="7F89079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738</w:t>
            </w:r>
          </w:p>
        </w:tc>
      </w:tr>
      <w:tr w:rsidR="003B07EA" w:rsidRPr="002E5F86" w14:paraId="33C100DC"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ED45FA0"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xml:space="preserve">Total non-current liabilities </w:t>
            </w:r>
          </w:p>
        </w:tc>
        <w:tc>
          <w:tcPr>
            <w:tcW w:w="1120" w:type="dxa"/>
            <w:tcBorders>
              <w:top w:val="nil"/>
              <w:left w:val="nil"/>
              <w:bottom w:val="nil"/>
              <w:right w:val="single" w:sz="4" w:space="0" w:color="auto"/>
            </w:tcBorders>
            <w:shd w:val="clear" w:color="000000" w:fill="B7DEE8"/>
            <w:noWrap/>
            <w:vAlign w:val="bottom"/>
            <w:hideMark/>
          </w:tcPr>
          <w:p w14:paraId="24655B89"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4283</w:t>
            </w:r>
          </w:p>
        </w:tc>
        <w:tc>
          <w:tcPr>
            <w:tcW w:w="1240" w:type="dxa"/>
            <w:tcBorders>
              <w:top w:val="nil"/>
              <w:left w:val="nil"/>
              <w:bottom w:val="nil"/>
              <w:right w:val="single" w:sz="4" w:space="0" w:color="auto"/>
            </w:tcBorders>
            <w:shd w:val="clear" w:color="000000" w:fill="B7DEE8"/>
            <w:noWrap/>
            <w:vAlign w:val="bottom"/>
            <w:hideMark/>
          </w:tcPr>
          <w:p w14:paraId="5F756B83"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4844</w:t>
            </w:r>
          </w:p>
        </w:tc>
        <w:tc>
          <w:tcPr>
            <w:tcW w:w="1120" w:type="dxa"/>
            <w:tcBorders>
              <w:top w:val="nil"/>
              <w:left w:val="nil"/>
              <w:bottom w:val="nil"/>
              <w:right w:val="single" w:sz="4" w:space="0" w:color="auto"/>
            </w:tcBorders>
            <w:shd w:val="clear" w:color="000000" w:fill="B7DEE8"/>
            <w:noWrap/>
            <w:vAlign w:val="bottom"/>
            <w:hideMark/>
          </w:tcPr>
          <w:p w14:paraId="36AA6B24"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4393</w:t>
            </w:r>
          </w:p>
        </w:tc>
        <w:tc>
          <w:tcPr>
            <w:tcW w:w="1120" w:type="dxa"/>
            <w:tcBorders>
              <w:top w:val="nil"/>
              <w:left w:val="nil"/>
              <w:bottom w:val="nil"/>
              <w:right w:val="single" w:sz="4" w:space="0" w:color="auto"/>
            </w:tcBorders>
            <w:shd w:val="clear" w:color="000000" w:fill="B7DEE8"/>
            <w:noWrap/>
            <w:vAlign w:val="bottom"/>
            <w:hideMark/>
          </w:tcPr>
          <w:p w14:paraId="42DD02CB"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3814</w:t>
            </w:r>
          </w:p>
        </w:tc>
      </w:tr>
      <w:tr w:rsidR="003B07EA" w:rsidRPr="002E5F86" w14:paraId="06A4A086"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0E4ACCF8"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Net Non-Current Assets</w:t>
            </w:r>
          </w:p>
        </w:tc>
        <w:tc>
          <w:tcPr>
            <w:tcW w:w="1120" w:type="dxa"/>
            <w:tcBorders>
              <w:top w:val="nil"/>
              <w:left w:val="nil"/>
              <w:bottom w:val="nil"/>
              <w:right w:val="single" w:sz="4" w:space="0" w:color="auto"/>
            </w:tcBorders>
            <w:shd w:val="clear" w:color="000000" w:fill="B7DEE8"/>
            <w:noWrap/>
            <w:vAlign w:val="bottom"/>
            <w:hideMark/>
          </w:tcPr>
          <w:p w14:paraId="66A5FFC9"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11763</w:t>
            </w:r>
          </w:p>
        </w:tc>
        <w:tc>
          <w:tcPr>
            <w:tcW w:w="1240" w:type="dxa"/>
            <w:tcBorders>
              <w:top w:val="nil"/>
              <w:left w:val="nil"/>
              <w:bottom w:val="nil"/>
              <w:right w:val="single" w:sz="4" w:space="0" w:color="auto"/>
            </w:tcBorders>
            <w:shd w:val="clear" w:color="000000" w:fill="B7DEE8"/>
            <w:noWrap/>
            <w:vAlign w:val="bottom"/>
            <w:hideMark/>
          </w:tcPr>
          <w:p w14:paraId="0952BCFB"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11450</w:t>
            </w:r>
          </w:p>
        </w:tc>
        <w:tc>
          <w:tcPr>
            <w:tcW w:w="1120" w:type="dxa"/>
            <w:tcBorders>
              <w:top w:val="nil"/>
              <w:left w:val="nil"/>
              <w:bottom w:val="nil"/>
              <w:right w:val="single" w:sz="4" w:space="0" w:color="auto"/>
            </w:tcBorders>
            <w:shd w:val="clear" w:color="000000" w:fill="B7DEE8"/>
            <w:noWrap/>
            <w:vAlign w:val="bottom"/>
            <w:hideMark/>
          </w:tcPr>
          <w:p w14:paraId="46289F6E"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12946</w:t>
            </w:r>
          </w:p>
        </w:tc>
        <w:tc>
          <w:tcPr>
            <w:tcW w:w="1120" w:type="dxa"/>
            <w:tcBorders>
              <w:top w:val="nil"/>
              <w:left w:val="nil"/>
              <w:bottom w:val="nil"/>
              <w:right w:val="single" w:sz="4" w:space="0" w:color="auto"/>
            </w:tcBorders>
            <w:shd w:val="clear" w:color="000000" w:fill="B7DEE8"/>
            <w:noWrap/>
            <w:vAlign w:val="bottom"/>
            <w:hideMark/>
          </w:tcPr>
          <w:p w14:paraId="1F792C49"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14164</w:t>
            </w:r>
          </w:p>
        </w:tc>
      </w:tr>
      <w:tr w:rsidR="003B07EA" w:rsidRPr="002E5F86" w14:paraId="333B62FE" w14:textId="77777777" w:rsidTr="003B07EA">
        <w:trPr>
          <w:trHeight w:val="324"/>
        </w:trPr>
        <w:tc>
          <w:tcPr>
            <w:tcW w:w="5020" w:type="dxa"/>
            <w:tcBorders>
              <w:top w:val="single" w:sz="4" w:space="0" w:color="auto"/>
              <w:left w:val="single" w:sz="4" w:space="0" w:color="auto"/>
              <w:bottom w:val="double" w:sz="6" w:space="0" w:color="auto"/>
              <w:right w:val="single" w:sz="4" w:space="0" w:color="auto"/>
            </w:tcBorders>
            <w:shd w:val="clear" w:color="000000" w:fill="B7DEE8"/>
            <w:noWrap/>
            <w:vAlign w:val="bottom"/>
            <w:hideMark/>
          </w:tcPr>
          <w:p w14:paraId="74AEEA66"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lastRenderedPageBreak/>
              <w:t>Net Operating Assets(NOA)</w:t>
            </w:r>
          </w:p>
        </w:tc>
        <w:tc>
          <w:tcPr>
            <w:tcW w:w="1120" w:type="dxa"/>
            <w:tcBorders>
              <w:top w:val="single" w:sz="4" w:space="0" w:color="auto"/>
              <w:left w:val="nil"/>
              <w:bottom w:val="double" w:sz="6" w:space="0" w:color="auto"/>
              <w:right w:val="single" w:sz="4" w:space="0" w:color="auto"/>
            </w:tcBorders>
            <w:shd w:val="clear" w:color="000000" w:fill="B7DEE8"/>
            <w:noWrap/>
            <w:vAlign w:val="bottom"/>
            <w:hideMark/>
          </w:tcPr>
          <w:p w14:paraId="75635452"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7376</w:t>
            </w:r>
          </w:p>
        </w:tc>
        <w:tc>
          <w:tcPr>
            <w:tcW w:w="1240" w:type="dxa"/>
            <w:tcBorders>
              <w:top w:val="single" w:sz="4" w:space="0" w:color="auto"/>
              <w:left w:val="nil"/>
              <w:bottom w:val="double" w:sz="6" w:space="0" w:color="auto"/>
              <w:right w:val="single" w:sz="4" w:space="0" w:color="auto"/>
            </w:tcBorders>
            <w:shd w:val="clear" w:color="000000" w:fill="B7DEE8"/>
            <w:noWrap/>
            <w:vAlign w:val="bottom"/>
            <w:hideMark/>
          </w:tcPr>
          <w:p w14:paraId="7EA6C4FF"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8045</w:t>
            </w:r>
          </w:p>
        </w:tc>
        <w:tc>
          <w:tcPr>
            <w:tcW w:w="1120" w:type="dxa"/>
            <w:tcBorders>
              <w:top w:val="single" w:sz="4" w:space="0" w:color="auto"/>
              <w:left w:val="nil"/>
              <w:bottom w:val="double" w:sz="6" w:space="0" w:color="auto"/>
              <w:right w:val="single" w:sz="4" w:space="0" w:color="auto"/>
            </w:tcBorders>
            <w:shd w:val="clear" w:color="000000" w:fill="B7DEE8"/>
            <w:noWrap/>
            <w:vAlign w:val="bottom"/>
            <w:hideMark/>
          </w:tcPr>
          <w:p w14:paraId="5EE06A8A"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10000</w:t>
            </w:r>
          </w:p>
        </w:tc>
        <w:tc>
          <w:tcPr>
            <w:tcW w:w="1120" w:type="dxa"/>
            <w:tcBorders>
              <w:top w:val="single" w:sz="4" w:space="0" w:color="auto"/>
              <w:left w:val="nil"/>
              <w:bottom w:val="double" w:sz="6" w:space="0" w:color="auto"/>
              <w:right w:val="single" w:sz="4" w:space="0" w:color="auto"/>
            </w:tcBorders>
            <w:shd w:val="clear" w:color="000000" w:fill="B7DEE8"/>
            <w:noWrap/>
            <w:vAlign w:val="bottom"/>
            <w:hideMark/>
          </w:tcPr>
          <w:p w14:paraId="62640C5E"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double"/>
                <w:lang w:val="en-US" w:eastAsia="en-US" w:bidi="hi-IN"/>
              </w:rPr>
            </w:pPr>
            <w:r w:rsidRPr="002E5F86">
              <w:rPr>
                <w:rFonts w:ascii="Times New Roman" w:eastAsia="Times New Roman" w:hAnsi="Times New Roman" w:cs="Times New Roman"/>
                <w:b/>
                <w:bCs/>
                <w:color w:val="000000"/>
                <w:sz w:val="24"/>
                <w:szCs w:val="24"/>
                <w:u w:val="double"/>
                <w:lang w:val="en-US" w:eastAsia="en-US" w:bidi="hi-IN"/>
              </w:rPr>
              <w:t>11132</w:t>
            </w:r>
          </w:p>
        </w:tc>
      </w:tr>
      <w:tr w:rsidR="003B07EA" w:rsidRPr="002E5F86" w14:paraId="0AAE7373" w14:textId="77777777" w:rsidTr="003B07EA">
        <w:trPr>
          <w:trHeight w:val="324"/>
        </w:trPr>
        <w:tc>
          <w:tcPr>
            <w:tcW w:w="5020" w:type="dxa"/>
            <w:tcBorders>
              <w:top w:val="nil"/>
              <w:left w:val="single" w:sz="4" w:space="0" w:color="auto"/>
              <w:bottom w:val="nil"/>
              <w:right w:val="single" w:sz="4" w:space="0" w:color="auto"/>
            </w:tcBorders>
            <w:shd w:val="clear" w:color="000000" w:fill="B7DEE8"/>
            <w:noWrap/>
            <w:vAlign w:val="bottom"/>
            <w:hideMark/>
          </w:tcPr>
          <w:p w14:paraId="085172E2"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7B0FBF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1BBE8DC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78526987"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CA7568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1DFD8ABB"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18FBB6C"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Financing Activities</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6216045C"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single" w:sz="4" w:space="0" w:color="auto"/>
              <w:left w:val="nil"/>
              <w:bottom w:val="single" w:sz="4" w:space="0" w:color="auto"/>
              <w:right w:val="single" w:sz="4" w:space="0" w:color="auto"/>
            </w:tcBorders>
            <w:shd w:val="clear" w:color="000000" w:fill="B7DEE8"/>
            <w:noWrap/>
            <w:vAlign w:val="bottom"/>
            <w:hideMark/>
          </w:tcPr>
          <w:p w14:paraId="01B22D5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2B8330D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62F64D3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092F880F"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2BFE78D"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Other financial assets - </w:t>
            </w:r>
            <w:proofErr w:type="spellStart"/>
            <w:r w:rsidRPr="002E5F86">
              <w:rPr>
                <w:rFonts w:ascii="Times New Roman" w:eastAsia="Times New Roman" w:hAnsi="Times New Roman" w:cs="Times New Roman"/>
                <w:color w:val="000000"/>
                <w:sz w:val="24"/>
                <w:szCs w:val="24"/>
                <w:lang w:val="en-US" w:eastAsia="en-US" w:bidi="hi-IN"/>
              </w:rPr>
              <w:t>Curret</w:t>
            </w:r>
            <w:proofErr w:type="spellEnd"/>
            <w:r w:rsidRPr="002E5F86">
              <w:rPr>
                <w:rFonts w:ascii="Times New Roman" w:eastAsia="Times New Roman" w:hAnsi="Times New Roman" w:cs="Times New Roman"/>
                <w:color w:val="000000"/>
                <w:sz w:val="24"/>
                <w:szCs w:val="24"/>
                <w:lang w:val="en-US" w:eastAsia="en-US" w:bidi="hi-IN"/>
              </w:rPr>
              <w:t xml:space="preserve"> Asset</w:t>
            </w:r>
          </w:p>
        </w:tc>
        <w:tc>
          <w:tcPr>
            <w:tcW w:w="1120" w:type="dxa"/>
            <w:tcBorders>
              <w:top w:val="nil"/>
              <w:left w:val="nil"/>
              <w:bottom w:val="nil"/>
              <w:right w:val="single" w:sz="4" w:space="0" w:color="auto"/>
            </w:tcBorders>
            <w:shd w:val="clear" w:color="000000" w:fill="B7DEE8"/>
            <w:noWrap/>
            <w:vAlign w:val="bottom"/>
            <w:hideMark/>
          </w:tcPr>
          <w:p w14:paraId="3722C7D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401</w:t>
            </w:r>
          </w:p>
        </w:tc>
        <w:tc>
          <w:tcPr>
            <w:tcW w:w="1240" w:type="dxa"/>
            <w:tcBorders>
              <w:top w:val="nil"/>
              <w:left w:val="nil"/>
              <w:bottom w:val="nil"/>
              <w:right w:val="single" w:sz="4" w:space="0" w:color="auto"/>
            </w:tcBorders>
            <w:shd w:val="clear" w:color="000000" w:fill="B7DEE8"/>
            <w:noWrap/>
            <w:vAlign w:val="bottom"/>
            <w:hideMark/>
          </w:tcPr>
          <w:p w14:paraId="4C5A599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203</w:t>
            </w:r>
          </w:p>
        </w:tc>
        <w:tc>
          <w:tcPr>
            <w:tcW w:w="1120" w:type="dxa"/>
            <w:tcBorders>
              <w:top w:val="nil"/>
              <w:left w:val="nil"/>
              <w:bottom w:val="nil"/>
              <w:right w:val="single" w:sz="4" w:space="0" w:color="auto"/>
            </w:tcBorders>
            <w:shd w:val="clear" w:color="000000" w:fill="B7DEE8"/>
            <w:noWrap/>
            <w:vAlign w:val="bottom"/>
            <w:hideMark/>
          </w:tcPr>
          <w:p w14:paraId="412C4D8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633</w:t>
            </w:r>
          </w:p>
        </w:tc>
        <w:tc>
          <w:tcPr>
            <w:tcW w:w="1120" w:type="dxa"/>
            <w:tcBorders>
              <w:top w:val="nil"/>
              <w:left w:val="nil"/>
              <w:bottom w:val="nil"/>
              <w:right w:val="single" w:sz="4" w:space="0" w:color="auto"/>
            </w:tcBorders>
            <w:shd w:val="clear" w:color="000000" w:fill="B7DEE8"/>
            <w:noWrap/>
            <w:vAlign w:val="bottom"/>
            <w:hideMark/>
          </w:tcPr>
          <w:p w14:paraId="5BA5F83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570</w:t>
            </w:r>
          </w:p>
        </w:tc>
      </w:tr>
      <w:tr w:rsidR="003B07EA" w:rsidRPr="002E5F86" w14:paraId="62DEC438"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7F835E85"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Other financial assets - </w:t>
            </w:r>
            <w:proofErr w:type="spellStart"/>
            <w:r w:rsidRPr="002E5F86">
              <w:rPr>
                <w:rFonts w:ascii="Times New Roman" w:eastAsia="Times New Roman" w:hAnsi="Times New Roman" w:cs="Times New Roman"/>
                <w:color w:val="000000"/>
                <w:sz w:val="24"/>
                <w:szCs w:val="24"/>
                <w:lang w:val="en-US" w:eastAsia="en-US" w:bidi="hi-IN"/>
              </w:rPr>
              <w:t>Non current</w:t>
            </w:r>
            <w:proofErr w:type="spellEnd"/>
            <w:r w:rsidRPr="002E5F86">
              <w:rPr>
                <w:rFonts w:ascii="Times New Roman" w:eastAsia="Times New Roman" w:hAnsi="Times New Roman" w:cs="Times New Roman"/>
                <w:color w:val="000000"/>
                <w:sz w:val="24"/>
                <w:szCs w:val="24"/>
                <w:lang w:val="en-US" w:eastAsia="en-US" w:bidi="hi-IN"/>
              </w:rPr>
              <w:t xml:space="preserve"> asset</w:t>
            </w:r>
          </w:p>
        </w:tc>
        <w:tc>
          <w:tcPr>
            <w:tcW w:w="1120" w:type="dxa"/>
            <w:tcBorders>
              <w:top w:val="nil"/>
              <w:left w:val="nil"/>
              <w:bottom w:val="nil"/>
              <w:right w:val="single" w:sz="4" w:space="0" w:color="auto"/>
            </w:tcBorders>
            <w:shd w:val="clear" w:color="000000" w:fill="B7DEE8"/>
            <w:noWrap/>
            <w:vAlign w:val="bottom"/>
            <w:hideMark/>
          </w:tcPr>
          <w:p w14:paraId="6DCE018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102</w:t>
            </w:r>
          </w:p>
        </w:tc>
        <w:tc>
          <w:tcPr>
            <w:tcW w:w="1240" w:type="dxa"/>
            <w:tcBorders>
              <w:top w:val="nil"/>
              <w:left w:val="nil"/>
              <w:bottom w:val="nil"/>
              <w:right w:val="single" w:sz="4" w:space="0" w:color="auto"/>
            </w:tcBorders>
            <w:shd w:val="clear" w:color="000000" w:fill="B7DEE8"/>
            <w:noWrap/>
            <w:vAlign w:val="bottom"/>
            <w:hideMark/>
          </w:tcPr>
          <w:p w14:paraId="131EC4D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170</w:t>
            </w:r>
          </w:p>
        </w:tc>
        <w:tc>
          <w:tcPr>
            <w:tcW w:w="1120" w:type="dxa"/>
            <w:tcBorders>
              <w:top w:val="nil"/>
              <w:left w:val="nil"/>
              <w:bottom w:val="nil"/>
              <w:right w:val="single" w:sz="4" w:space="0" w:color="auto"/>
            </w:tcBorders>
            <w:shd w:val="clear" w:color="000000" w:fill="B7DEE8"/>
            <w:noWrap/>
            <w:vAlign w:val="bottom"/>
            <w:hideMark/>
          </w:tcPr>
          <w:p w14:paraId="1E72F3C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173</w:t>
            </w:r>
          </w:p>
        </w:tc>
        <w:tc>
          <w:tcPr>
            <w:tcW w:w="1120" w:type="dxa"/>
            <w:tcBorders>
              <w:top w:val="nil"/>
              <w:left w:val="nil"/>
              <w:bottom w:val="nil"/>
              <w:right w:val="single" w:sz="4" w:space="0" w:color="auto"/>
            </w:tcBorders>
            <w:shd w:val="clear" w:color="000000" w:fill="B7DEE8"/>
            <w:noWrap/>
            <w:vAlign w:val="bottom"/>
            <w:hideMark/>
          </w:tcPr>
          <w:p w14:paraId="3AFEFA8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102</w:t>
            </w:r>
          </w:p>
        </w:tc>
      </w:tr>
      <w:tr w:rsidR="003B07EA" w:rsidRPr="002E5F86" w14:paraId="447E505D"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171A7FBF"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borrowings - current </w:t>
            </w:r>
          </w:p>
        </w:tc>
        <w:tc>
          <w:tcPr>
            <w:tcW w:w="1120" w:type="dxa"/>
            <w:tcBorders>
              <w:top w:val="nil"/>
              <w:left w:val="nil"/>
              <w:bottom w:val="nil"/>
              <w:right w:val="single" w:sz="4" w:space="0" w:color="auto"/>
            </w:tcBorders>
            <w:shd w:val="clear" w:color="000000" w:fill="B7DEE8"/>
            <w:noWrap/>
            <w:vAlign w:val="bottom"/>
            <w:hideMark/>
          </w:tcPr>
          <w:p w14:paraId="6EA38F5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5144</w:t>
            </w:r>
          </w:p>
        </w:tc>
        <w:tc>
          <w:tcPr>
            <w:tcW w:w="1240" w:type="dxa"/>
            <w:tcBorders>
              <w:top w:val="nil"/>
              <w:left w:val="nil"/>
              <w:bottom w:val="nil"/>
              <w:right w:val="single" w:sz="4" w:space="0" w:color="auto"/>
            </w:tcBorders>
            <w:shd w:val="clear" w:color="000000" w:fill="B7DEE8"/>
            <w:noWrap/>
            <w:vAlign w:val="bottom"/>
            <w:hideMark/>
          </w:tcPr>
          <w:p w14:paraId="13BEC4F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4726</w:t>
            </w:r>
          </w:p>
        </w:tc>
        <w:tc>
          <w:tcPr>
            <w:tcW w:w="1120" w:type="dxa"/>
            <w:tcBorders>
              <w:top w:val="nil"/>
              <w:left w:val="nil"/>
              <w:bottom w:val="nil"/>
              <w:right w:val="single" w:sz="4" w:space="0" w:color="auto"/>
            </w:tcBorders>
            <w:shd w:val="clear" w:color="000000" w:fill="B7DEE8"/>
            <w:noWrap/>
            <w:vAlign w:val="bottom"/>
            <w:hideMark/>
          </w:tcPr>
          <w:p w14:paraId="1897E35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4615</w:t>
            </w:r>
          </w:p>
        </w:tc>
        <w:tc>
          <w:tcPr>
            <w:tcW w:w="1120" w:type="dxa"/>
            <w:tcBorders>
              <w:top w:val="nil"/>
              <w:left w:val="nil"/>
              <w:bottom w:val="nil"/>
              <w:right w:val="single" w:sz="4" w:space="0" w:color="auto"/>
            </w:tcBorders>
            <w:shd w:val="clear" w:color="000000" w:fill="B7DEE8"/>
            <w:noWrap/>
            <w:vAlign w:val="bottom"/>
            <w:hideMark/>
          </w:tcPr>
          <w:p w14:paraId="15FA759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4725</w:t>
            </w:r>
          </w:p>
        </w:tc>
      </w:tr>
      <w:tr w:rsidR="003B07EA" w:rsidRPr="002E5F86" w14:paraId="1DB64B1D"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3CDDDB33"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Borrowings - non current</w:t>
            </w:r>
          </w:p>
        </w:tc>
        <w:tc>
          <w:tcPr>
            <w:tcW w:w="1120" w:type="dxa"/>
            <w:tcBorders>
              <w:top w:val="nil"/>
              <w:left w:val="nil"/>
              <w:bottom w:val="nil"/>
              <w:right w:val="single" w:sz="4" w:space="0" w:color="auto"/>
            </w:tcBorders>
            <w:shd w:val="clear" w:color="000000" w:fill="B7DEE8"/>
            <w:noWrap/>
            <w:vAlign w:val="bottom"/>
            <w:hideMark/>
          </w:tcPr>
          <w:p w14:paraId="262EFE1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4,988</w:t>
            </w:r>
          </w:p>
        </w:tc>
        <w:tc>
          <w:tcPr>
            <w:tcW w:w="1240" w:type="dxa"/>
            <w:tcBorders>
              <w:top w:val="nil"/>
              <w:left w:val="nil"/>
              <w:bottom w:val="nil"/>
              <w:right w:val="single" w:sz="4" w:space="0" w:color="auto"/>
            </w:tcBorders>
            <w:shd w:val="clear" w:color="000000" w:fill="B7DEE8"/>
            <w:noWrap/>
            <w:vAlign w:val="bottom"/>
            <w:hideMark/>
          </w:tcPr>
          <w:p w14:paraId="73D63B3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4,455</w:t>
            </w:r>
          </w:p>
        </w:tc>
        <w:tc>
          <w:tcPr>
            <w:tcW w:w="1120" w:type="dxa"/>
            <w:tcBorders>
              <w:top w:val="nil"/>
              <w:left w:val="nil"/>
              <w:bottom w:val="nil"/>
              <w:right w:val="single" w:sz="4" w:space="0" w:color="auto"/>
            </w:tcBorders>
            <w:shd w:val="clear" w:color="000000" w:fill="B7DEE8"/>
            <w:noWrap/>
            <w:vAlign w:val="bottom"/>
            <w:hideMark/>
          </w:tcPr>
          <w:p w14:paraId="7CAA0FFB"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4,298</w:t>
            </w:r>
          </w:p>
        </w:tc>
        <w:tc>
          <w:tcPr>
            <w:tcW w:w="1120" w:type="dxa"/>
            <w:tcBorders>
              <w:top w:val="nil"/>
              <w:left w:val="nil"/>
              <w:bottom w:val="nil"/>
              <w:right w:val="single" w:sz="4" w:space="0" w:color="auto"/>
            </w:tcBorders>
            <w:shd w:val="clear" w:color="000000" w:fill="B7DEE8"/>
            <w:noWrap/>
            <w:vAlign w:val="bottom"/>
            <w:hideMark/>
          </w:tcPr>
          <w:p w14:paraId="2334052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3,076</w:t>
            </w:r>
          </w:p>
        </w:tc>
      </w:tr>
      <w:tr w:rsidR="003B07EA" w:rsidRPr="002E5F86" w14:paraId="5DFB9029"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756C55DF"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5827510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775BA37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119A57E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692C27B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6A98E8D9"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16D64D17"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Net Financial Obligations (Net Debt)</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365816D1"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10635</w:t>
            </w:r>
          </w:p>
        </w:tc>
        <w:tc>
          <w:tcPr>
            <w:tcW w:w="1240" w:type="dxa"/>
            <w:tcBorders>
              <w:top w:val="single" w:sz="4" w:space="0" w:color="auto"/>
              <w:left w:val="nil"/>
              <w:bottom w:val="single" w:sz="4" w:space="0" w:color="auto"/>
              <w:right w:val="single" w:sz="4" w:space="0" w:color="auto"/>
            </w:tcBorders>
            <w:shd w:val="clear" w:color="000000" w:fill="B7DEE8"/>
            <w:noWrap/>
            <w:vAlign w:val="bottom"/>
            <w:hideMark/>
          </w:tcPr>
          <w:p w14:paraId="6C7010E3"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9554</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2244C0D0"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9719</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42A5B837"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8473</w:t>
            </w:r>
          </w:p>
        </w:tc>
      </w:tr>
      <w:tr w:rsidR="003B07EA" w:rsidRPr="002E5F86" w14:paraId="112D4564" w14:textId="77777777" w:rsidTr="003B07EA">
        <w:trPr>
          <w:trHeight w:val="312"/>
        </w:trPr>
        <w:tc>
          <w:tcPr>
            <w:tcW w:w="5020" w:type="dxa"/>
            <w:tcBorders>
              <w:top w:val="nil"/>
              <w:left w:val="nil"/>
              <w:bottom w:val="nil"/>
              <w:right w:val="nil"/>
            </w:tcBorders>
            <w:shd w:val="clear" w:color="000000" w:fill="B7DEE8"/>
            <w:noWrap/>
            <w:vAlign w:val="bottom"/>
            <w:hideMark/>
          </w:tcPr>
          <w:p w14:paraId="0729C8FE" w14:textId="77777777" w:rsidR="003B07EA" w:rsidRPr="002E5F86" w:rsidRDefault="003B07EA" w:rsidP="00652892">
            <w:pPr>
              <w:spacing w:after="0" w:line="600" w:lineRule="auto"/>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nil"/>
            </w:tcBorders>
            <w:shd w:val="clear" w:color="000000" w:fill="B7DEE8"/>
            <w:noWrap/>
            <w:vAlign w:val="bottom"/>
            <w:hideMark/>
          </w:tcPr>
          <w:p w14:paraId="69106AE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240" w:type="dxa"/>
            <w:tcBorders>
              <w:top w:val="nil"/>
              <w:left w:val="nil"/>
              <w:bottom w:val="nil"/>
              <w:right w:val="nil"/>
            </w:tcBorders>
            <w:shd w:val="clear" w:color="000000" w:fill="B7DEE8"/>
            <w:noWrap/>
            <w:vAlign w:val="bottom"/>
            <w:hideMark/>
          </w:tcPr>
          <w:p w14:paraId="35E2D7D8"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nil"/>
            </w:tcBorders>
            <w:shd w:val="clear" w:color="000000" w:fill="B7DEE8"/>
            <w:noWrap/>
            <w:vAlign w:val="bottom"/>
            <w:hideMark/>
          </w:tcPr>
          <w:p w14:paraId="5A7F59D3"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nil"/>
              <w:left w:val="nil"/>
              <w:bottom w:val="nil"/>
              <w:right w:val="nil"/>
            </w:tcBorders>
            <w:shd w:val="clear" w:color="000000" w:fill="B7DEE8"/>
            <w:noWrap/>
            <w:vAlign w:val="bottom"/>
            <w:hideMark/>
          </w:tcPr>
          <w:p w14:paraId="62A5E41E"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03BB3349"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10CBD5C9" w14:textId="77777777" w:rsidR="003B07EA" w:rsidRPr="002E5F86" w:rsidRDefault="003B07EA" w:rsidP="00652892">
            <w:pPr>
              <w:spacing w:after="0" w:line="600" w:lineRule="auto"/>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Equity</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76D54C4B"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 </w:t>
            </w:r>
          </w:p>
        </w:tc>
        <w:tc>
          <w:tcPr>
            <w:tcW w:w="1240" w:type="dxa"/>
            <w:tcBorders>
              <w:top w:val="single" w:sz="4" w:space="0" w:color="auto"/>
              <w:left w:val="nil"/>
              <w:bottom w:val="single" w:sz="4" w:space="0" w:color="auto"/>
              <w:right w:val="single" w:sz="4" w:space="0" w:color="auto"/>
            </w:tcBorders>
            <w:shd w:val="clear" w:color="000000" w:fill="B7DEE8"/>
            <w:noWrap/>
            <w:vAlign w:val="bottom"/>
            <w:hideMark/>
          </w:tcPr>
          <w:p w14:paraId="6FDCD600"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060AA87A"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61EE0824"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3B07EA" w:rsidRPr="002E5F86" w14:paraId="692F9EAE"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3FAB21B4"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xml:space="preserve">Contributed Equity </w:t>
            </w:r>
          </w:p>
        </w:tc>
        <w:tc>
          <w:tcPr>
            <w:tcW w:w="1120" w:type="dxa"/>
            <w:tcBorders>
              <w:top w:val="nil"/>
              <w:left w:val="nil"/>
              <w:bottom w:val="nil"/>
              <w:right w:val="single" w:sz="4" w:space="0" w:color="auto"/>
            </w:tcBorders>
            <w:shd w:val="clear" w:color="000000" w:fill="B7DEE8"/>
            <w:noWrap/>
            <w:vAlign w:val="bottom"/>
            <w:hideMark/>
          </w:tcPr>
          <w:p w14:paraId="2338DA59"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4,337</w:t>
            </w:r>
          </w:p>
        </w:tc>
        <w:tc>
          <w:tcPr>
            <w:tcW w:w="1240" w:type="dxa"/>
            <w:tcBorders>
              <w:top w:val="nil"/>
              <w:left w:val="nil"/>
              <w:bottom w:val="nil"/>
              <w:right w:val="single" w:sz="4" w:space="0" w:color="auto"/>
            </w:tcBorders>
            <w:shd w:val="clear" w:color="000000" w:fill="B7DEE8"/>
            <w:noWrap/>
            <w:vAlign w:val="bottom"/>
            <w:hideMark/>
          </w:tcPr>
          <w:p w14:paraId="571D47A5"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4,523</w:t>
            </w:r>
          </w:p>
        </w:tc>
        <w:tc>
          <w:tcPr>
            <w:tcW w:w="1120" w:type="dxa"/>
            <w:tcBorders>
              <w:top w:val="nil"/>
              <w:left w:val="nil"/>
              <w:bottom w:val="nil"/>
              <w:right w:val="single" w:sz="4" w:space="0" w:color="auto"/>
            </w:tcBorders>
            <w:shd w:val="clear" w:color="000000" w:fill="B7DEE8"/>
            <w:noWrap/>
            <w:vAlign w:val="bottom"/>
            <w:hideMark/>
          </w:tcPr>
          <w:p w14:paraId="1952717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4850</w:t>
            </w:r>
          </w:p>
        </w:tc>
        <w:tc>
          <w:tcPr>
            <w:tcW w:w="1120" w:type="dxa"/>
            <w:tcBorders>
              <w:top w:val="nil"/>
              <w:left w:val="nil"/>
              <w:bottom w:val="nil"/>
              <w:right w:val="single" w:sz="4" w:space="0" w:color="auto"/>
            </w:tcBorders>
            <w:shd w:val="clear" w:color="000000" w:fill="B7DEE8"/>
            <w:noWrap/>
            <w:vAlign w:val="bottom"/>
            <w:hideMark/>
          </w:tcPr>
          <w:p w14:paraId="0AD6B02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5,065</w:t>
            </w:r>
          </w:p>
        </w:tc>
      </w:tr>
      <w:tr w:rsidR="003B07EA" w:rsidRPr="002E5F86" w14:paraId="38BA639B"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62E757FE"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Treasury stock</w:t>
            </w:r>
          </w:p>
        </w:tc>
        <w:tc>
          <w:tcPr>
            <w:tcW w:w="1120" w:type="dxa"/>
            <w:tcBorders>
              <w:top w:val="nil"/>
              <w:left w:val="nil"/>
              <w:bottom w:val="nil"/>
              <w:right w:val="single" w:sz="4" w:space="0" w:color="auto"/>
            </w:tcBorders>
            <w:shd w:val="clear" w:color="000000" w:fill="B7DEE8"/>
            <w:noWrap/>
            <w:vAlign w:val="bottom"/>
            <w:hideMark/>
          </w:tcPr>
          <w:p w14:paraId="6027A2DB"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-312</w:t>
            </w:r>
          </w:p>
        </w:tc>
        <w:tc>
          <w:tcPr>
            <w:tcW w:w="1240" w:type="dxa"/>
            <w:tcBorders>
              <w:top w:val="nil"/>
              <w:left w:val="nil"/>
              <w:bottom w:val="nil"/>
              <w:right w:val="single" w:sz="4" w:space="0" w:color="auto"/>
            </w:tcBorders>
            <w:shd w:val="clear" w:color="000000" w:fill="B7DEE8"/>
            <w:noWrap/>
            <w:vAlign w:val="bottom"/>
            <w:hideMark/>
          </w:tcPr>
          <w:p w14:paraId="6B9FA7DD"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-155</w:t>
            </w:r>
          </w:p>
        </w:tc>
        <w:tc>
          <w:tcPr>
            <w:tcW w:w="1120" w:type="dxa"/>
            <w:tcBorders>
              <w:top w:val="nil"/>
              <w:left w:val="nil"/>
              <w:bottom w:val="nil"/>
              <w:right w:val="single" w:sz="4" w:space="0" w:color="auto"/>
            </w:tcBorders>
            <w:shd w:val="clear" w:color="000000" w:fill="B7DEE8"/>
            <w:noWrap/>
            <w:vAlign w:val="bottom"/>
            <w:hideMark/>
          </w:tcPr>
          <w:p w14:paraId="66F7B03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-21</w:t>
            </w:r>
          </w:p>
        </w:tc>
        <w:tc>
          <w:tcPr>
            <w:tcW w:w="1120" w:type="dxa"/>
            <w:tcBorders>
              <w:top w:val="nil"/>
              <w:left w:val="nil"/>
              <w:bottom w:val="nil"/>
              <w:right w:val="single" w:sz="4" w:space="0" w:color="auto"/>
            </w:tcBorders>
            <w:shd w:val="clear" w:color="000000" w:fill="B7DEE8"/>
            <w:noWrap/>
            <w:vAlign w:val="bottom"/>
            <w:hideMark/>
          </w:tcPr>
          <w:p w14:paraId="4730DDD1"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33</w:t>
            </w:r>
          </w:p>
        </w:tc>
      </w:tr>
      <w:tr w:rsidR="003B07EA" w:rsidRPr="002E5F86" w14:paraId="752BCC03"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618C127D"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Retained Profit</w:t>
            </w:r>
          </w:p>
        </w:tc>
        <w:tc>
          <w:tcPr>
            <w:tcW w:w="1120" w:type="dxa"/>
            <w:tcBorders>
              <w:top w:val="nil"/>
              <w:left w:val="nil"/>
              <w:bottom w:val="nil"/>
              <w:right w:val="single" w:sz="4" w:space="0" w:color="auto"/>
            </w:tcBorders>
            <w:shd w:val="clear" w:color="000000" w:fill="B7DEE8"/>
            <w:noWrap/>
            <w:vAlign w:val="bottom"/>
            <w:hideMark/>
          </w:tcPr>
          <w:p w14:paraId="55AE35CD"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4,163</w:t>
            </w:r>
          </w:p>
        </w:tc>
        <w:tc>
          <w:tcPr>
            <w:tcW w:w="1240" w:type="dxa"/>
            <w:tcBorders>
              <w:top w:val="nil"/>
              <w:left w:val="nil"/>
              <w:bottom w:val="nil"/>
              <w:right w:val="single" w:sz="4" w:space="0" w:color="auto"/>
            </w:tcBorders>
            <w:shd w:val="clear" w:color="000000" w:fill="B7DEE8"/>
            <w:noWrap/>
            <w:vAlign w:val="bottom"/>
            <w:hideMark/>
          </w:tcPr>
          <w:p w14:paraId="1752E4FF"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4,661</w:t>
            </w:r>
          </w:p>
        </w:tc>
        <w:tc>
          <w:tcPr>
            <w:tcW w:w="1120" w:type="dxa"/>
            <w:tcBorders>
              <w:top w:val="nil"/>
              <w:left w:val="nil"/>
              <w:bottom w:val="nil"/>
              <w:right w:val="single" w:sz="4" w:space="0" w:color="auto"/>
            </w:tcBorders>
            <w:shd w:val="clear" w:color="000000" w:fill="B7DEE8"/>
            <w:noWrap/>
            <w:vAlign w:val="bottom"/>
            <w:hideMark/>
          </w:tcPr>
          <w:p w14:paraId="6227D736"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5423</w:t>
            </w:r>
          </w:p>
        </w:tc>
        <w:tc>
          <w:tcPr>
            <w:tcW w:w="1120" w:type="dxa"/>
            <w:tcBorders>
              <w:top w:val="nil"/>
              <w:left w:val="nil"/>
              <w:bottom w:val="nil"/>
              <w:right w:val="single" w:sz="4" w:space="0" w:color="auto"/>
            </w:tcBorders>
            <w:shd w:val="clear" w:color="000000" w:fill="B7DEE8"/>
            <w:noWrap/>
            <w:vAlign w:val="bottom"/>
            <w:hideMark/>
          </w:tcPr>
          <w:p w14:paraId="2D7824E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5,736</w:t>
            </w:r>
          </w:p>
        </w:tc>
      </w:tr>
      <w:tr w:rsidR="003B07EA" w:rsidRPr="002E5F86" w14:paraId="11452E3D" w14:textId="77777777" w:rsidTr="003B07EA">
        <w:trPr>
          <w:trHeight w:val="330"/>
        </w:trPr>
        <w:tc>
          <w:tcPr>
            <w:tcW w:w="5020" w:type="dxa"/>
            <w:tcBorders>
              <w:top w:val="nil"/>
              <w:left w:val="single" w:sz="4" w:space="0" w:color="auto"/>
              <w:bottom w:val="nil"/>
              <w:right w:val="single" w:sz="4" w:space="0" w:color="auto"/>
            </w:tcBorders>
            <w:shd w:val="clear" w:color="000000" w:fill="B7DEE8"/>
            <w:noWrap/>
            <w:vAlign w:val="bottom"/>
            <w:hideMark/>
          </w:tcPr>
          <w:p w14:paraId="2C3E8E18" w14:textId="77777777" w:rsidR="003B07EA" w:rsidRPr="002E5F86" w:rsidRDefault="003B07EA" w:rsidP="00652892">
            <w:pPr>
              <w:spacing w:after="0" w:line="600" w:lineRule="auto"/>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Capital surplus</w:t>
            </w:r>
          </w:p>
        </w:tc>
        <w:tc>
          <w:tcPr>
            <w:tcW w:w="1120" w:type="dxa"/>
            <w:tcBorders>
              <w:top w:val="nil"/>
              <w:left w:val="nil"/>
              <w:bottom w:val="nil"/>
              <w:right w:val="single" w:sz="4" w:space="0" w:color="auto"/>
            </w:tcBorders>
            <w:shd w:val="clear" w:color="000000" w:fill="B7DEE8"/>
            <w:noWrap/>
            <w:vAlign w:val="bottom"/>
            <w:hideMark/>
          </w:tcPr>
          <w:p w14:paraId="76DE040F" w14:textId="77777777" w:rsidR="003B07EA" w:rsidRPr="002E5F86" w:rsidRDefault="003B07EA"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5</w:t>
            </w:r>
          </w:p>
        </w:tc>
        <w:tc>
          <w:tcPr>
            <w:tcW w:w="1240" w:type="dxa"/>
            <w:tcBorders>
              <w:top w:val="nil"/>
              <w:left w:val="nil"/>
              <w:bottom w:val="nil"/>
              <w:right w:val="single" w:sz="4" w:space="0" w:color="auto"/>
            </w:tcBorders>
            <w:shd w:val="clear" w:color="000000" w:fill="B7DEE8"/>
            <w:noWrap/>
            <w:vAlign w:val="bottom"/>
            <w:hideMark/>
          </w:tcPr>
          <w:p w14:paraId="3E4EAF62"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w:t>
            </w:r>
          </w:p>
        </w:tc>
        <w:tc>
          <w:tcPr>
            <w:tcW w:w="1120" w:type="dxa"/>
            <w:tcBorders>
              <w:top w:val="nil"/>
              <w:left w:val="nil"/>
              <w:bottom w:val="nil"/>
              <w:right w:val="single" w:sz="4" w:space="0" w:color="auto"/>
            </w:tcBorders>
            <w:shd w:val="clear" w:color="000000" w:fill="B7DEE8"/>
            <w:noWrap/>
            <w:vAlign w:val="bottom"/>
            <w:hideMark/>
          </w:tcPr>
          <w:p w14:paraId="6BAB06DC"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4</w:t>
            </w:r>
          </w:p>
        </w:tc>
        <w:tc>
          <w:tcPr>
            <w:tcW w:w="1120" w:type="dxa"/>
            <w:tcBorders>
              <w:top w:val="nil"/>
              <w:left w:val="nil"/>
              <w:bottom w:val="nil"/>
              <w:right w:val="single" w:sz="4" w:space="0" w:color="auto"/>
            </w:tcBorders>
            <w:shd w:val="clear" w:color="000000" w:fill="B7DEE8"/>
            <w:noWrap/>
            <w:vAlign w:val="bottom"/>
            <w:hideMark/>
          </w:tcPr>
          <w:p w14:paraId="1B3311F9" w14:textId="77777777" w:rsidR="003B07EA" w:rsidRPr="002E5F86" w:rsidRDefault="003B07EA"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w:t>
            </w:r>
          </w:p>
        </w:tc>
      </w:tr>
      <w:tr w:rsidR="003B07EA" w:rsidRPr="002E5F86" w14:paraId="2496FA07"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260B9727" w14:textId="77777777" w:rsidR="003B07EA" w:rsidRPr="002E5F86" w:rsidRDefault="003B07EA" w:rsidP="00652892">
            <w:pPr>
              <w:spacing w:after="0" w:line="600" w:lineRule="auto"/>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 xml:space="preserve">closing CSE </w:t>
            </w:r>
          </w:p>
        </w:tc>
        <w:tc>
          <w:tcPr>
            <w:tcW w:w="1120" w:type="dxa"/>
            <w:tcBorders>
              <w:top w:val="nil"/>
              <w:left w:val="nil"/>
              <w:bottom w:val="nil"/>
              <w:right w:val="single" w:sz="4" w:space="0" w:color="auto"/>
            </w:tcBorders>
            <w:shd w:val="clear" w:color="000000" w:fill="B7DEE8"/>
            <w:noWrap/>
            <w:vAlign w:val="bottom"/>
            <w:hideMark/>
          </w:tcPr>
          <w:p w14:paraId="25B28777"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8193</w:t>
            </w:r>
          </w:p>
        </w:tc>
        <w:tc>
          <w:tcPr>
            <w:tcW w:w="1240" w:type="dxa"/>
            <w:tcBorders>
              <w:top w:val="nil"/>
              <w:left w:val="nil"/>
              <w:bottom w:val="nil"/>
              <w:right w:val="single" w:sz="4" w:space="0" w:color="auto"/>
            </w:tcBorders>
            <w:shd w:val="clear" w:color="000000" w:fill="B7DEE8"/>
            <w:noWrap/>
            <w:vAlign w:val="bottom"/>
            <w:hideMark/>
          </w:tcPr>
          <w:p w14:paraId="4D03A0F8"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9034</w:t>
            </w:r>
          </w:p>
        </w:tc>
        <w:tc>
          <w:tcPr>
            <w:tcW w:w="1120" w:type="dxa"/>
            <w:tcBorders>
              <w:top w:val="nil"/>
              <w:left w:val="nil"/>
              <w:bottom w:val="nil"/>
              <w:right w:val="single" w:sz="4" w:space="0" w:color="auto"/>
            </w:tcBorders>
            <w:shd w:val="clear" w:color="000000" w:fill="B7DEE8"/>
            <w:noWrap/>
            <w:vAlign w:val="bottom"/>
            <w:hideMark/>
          </w:tcPr>
          <w:p w14:paraId="1F43218A"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10256</w:t>
            </w:r>
          </w:p>
        </w:tc>
        <w:tc>
          <w:tcPr>
            <w:tcW w:w="1120" w:type="dxa"/>
            <w:tcBorders>
              <w:top w:val="nil"/>
              <w:left w:val="nil"/>
              <w:bottom w:val="nil"/>
              <w:right w:val="single" w:sz="4" w:space="0" w:color="auto"/>
            </w:tcBorders>
            <w:shd w:val="clear" w:color="000000" w:fill="B7DEE8"/>
            <w:noWrap/>
            <w:vAlign w:val="bottom"/>
            <w:hideMark/>
          </w:tcPr>
          <w:p w14:paraId="6D6A5DA2"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10837</w:t>
            </w:r>
          </w:p>
        </w:tc>
      </w:tr>
      <w:tr w:rsidR="003B07EA" w:rsidRPr="002E5F86" w14:paraId="69768F1B" w14:textId="77777777" w:rsidTr="003B07EA">
        <w:trPr>
          <w:trHeight w:val="312"/>
        </w:trPr>
        <w:tc>
          <w:tcPr>
            <w:tcW w:w="5020" w:type="dxa"/>
            <w:tcBorders>
              <w:top w:val="nil"/>
              <w:left w:val="single" w:sz="4" w:space="0" w:color="auto"/>
              <w:bottom w:val="nil"/>
              <w:right w:val="single" w:sz="4" w:space="0" w:color="auto"/>
            </w:tcBorders>
            <w:shd w:val="clear" w:color="000000" w:fill="B7DEE8"/>
            <w:noWrap/>
            <w:vAlign w:val="bottom"/>
            <w:hideMark/>
          </w:tcPr>
          <w:p w14:paraId="4F02A0DB" w14:textId="77777777" w:rsidR="003B07EA" w:rsidRPr="002E5F86" w:rsidRDefault="003B07EA" w:rsidP="00652892">
            <w:pPr>
              <w:spacing w:after="0" w:line="600" w:lineRule="auto"/>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32E1C1E2"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240" w:type="dxa"/>
            <w:tcBorders>
              <w:top w:val="nil"/>
              <w:left w:val="nil"/>
              <w:bottom w:val="nil"/>
              <w:right w:val="single" w:sz="4" w:space="0" w:color="auto"/>
            </w:tcBorders>
            <w:shd w:val="clear" w:color="000000" w:fill="B7DEE8"/>
            <w:noWrap/>
            <w:vAlign w:val="bottom"/>
            <w:hideMark/>
          </w:tcPr>
          <w:p w14:paraId="19D7CA27"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67305D9"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120" w:type="dxa"/>
            <w:tcBorders>
              <w:top w:val="nil"/>
              <w:left w:val="nil"/>
              <w:bottom w:val="nil"/>
              <w:right w:val="single" w:sz="4" w:space="0" w:color="auto"/>
            </w:tcBorders>
            <w:shd w:val="clear" w:color="000000" w:fill="B7DEE8"/>
            <w:noWrap/>
            <w:vAlign w:val="bottom"/>
            <w:hideMark/>
          </w:tcPr>
          <w:p w14:paraId="05B41AD8" w14:textId="77777777" w:rsidR="003B07EA" w:rsidRPr="002E5F86" w:rsidRDefault="003B07EA"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r>
      <w:tr w:rsidR="003B07EA" w:rsidRPr="002E5F86" w14:paraId="39AED753" w14:textId="77777777" w:rsidTr="003B07EA">
        <w:trPr>
          <w:trHeight w:val="312"/>
        </w:trPr>
        <w:tc>
          <w:tcPr>
            <w:tcW w:w="50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045CF952" w14:textId="77777777" w:rsidR="003B07EA" w:rsidRPr="002E5F86" w:rsidRDefault="003B07EA" w:rsidP="00652892">
            <w:pPr>
              <w:spacing w:after="0" w:line="600" w:lineRule="auto"/>
              <w:rPr>
                <w:rFonts w:ascii="Times New Roman" w:eastAsia="Times New Roman" w:hAnsi="Times New Roman" w:cs="Times New Roman"/>
                <w:b/>
                <w:bCs/>
                <w:sz w:val="24"/>
                <w:szCs w:val="24"/>
                <w:lang w:val="en-US" w:eastAsia="en-US" w:bidi="hi-IN"/>
              </w:rPr>
            </w:pPr>
            <w:r w:rsidRPr="002E5F86">
              <w:rPr>
                <w:rFonts w:ascii="Times New Roman" w:eastAsia="Times New Roman" w:hAnsi="Times New Roman" w:cs="Times New Roman"/>
                <w:b/>
                <w:bCs/>
                <w:sz w:val="24"/>
                <w:szCs w:val="24"/>
                <w:lang w:val="en-US" w:eastAsia="en-US" w:bidi="hi-IN"/>
              </w:rPr>
              <w:t>NOA-NFO</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7DD57196"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u w:val="double"/>
                <w:lang w:val="en-US" w:eastAsia="en-US" w:bidi="hi-IN"/>
              </w:rPr>
            </w:pPr>
            <w:r w:rsidRPr="002E5F86">
              <w:rPr>
                <w:rFonts w:ascii="Times New Roman" w:eastAsia="Times New Roman" w:hAnsi="Times New Roman" w:cs="Times New Roman"/>
                <w:b/>
                <w:bCs/>
                <w:sz w:val="24"/>
                <w:szCs w:val="24"/>
                <w:u w:val="double"/>
                <w:lang w:val="en-US" w:eastAsia="en-US" w:bidi="hi-IN"/>
              </w:rPr>
              <w:t>-3259</w:t>
            </w:r>
          </w:p>
        </w:tc>
        <w:tc>
          <w:tcPr>
            <w:tcW w:w="1240" w:type="dxa"/>
            <w:tcBorders>
              <w:top w:val="single" w:sz="4" w:space="0" w:color="auto"/>
              <w:left w:val="nil"/>
              <w:bottom w:val="single" w:sz="4" w:space="0" w:color="auto"/>
              <w:right w:val="single" w:sz="4" w:space="0" w:color="auto"/>
            </w:tcBorders>
            <w:shd w:val="clear" w:color="000000" w:fill="B7DEE8"/>
            <w:noWrap/>
            <w:vAlign w:val="bottom"/>
            <w:hideMark/>
          </w:tcPr>
          <w:p w14:paraId="00738D8B"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u w:val="double"/>
                <w:lang w:val="en-US" w:eastAsia="en-US" w:bidi="hi-IN"/>
              </w:rPr>
            </w:pPr>
            <w:r w:rsidRPr="002E5F86">
              <w:rPr>
                <w:rFonts w:ascii="Times New Roman" w:eastAsia="Times New Roman" w:hAnsi="Times New Roman" w:cs="Times New Roman"/>
                <w:b/>
                <w:bCs/>
                <w:sz w:val="24"/>
                <w:szCs w:val="24"/>
                <w:u w:val="double"/>
                <w:lang w:val="en-US" w:eastAsia="en-US" w:bidi="hi-IN"/>
              </w:rPr>
              <w:t>-1509</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6C09BF52"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u w:val="double"/>
                <w:lang w:val="en-US" w:eastAsia="en-US" w:bidi="hi-IN"/>
              </w:rPr>
            </w:pPr>
            <w:r w:rsidRPr="002E5F86">
              <w:rPr>
                <w:rFonts w:ascii="Times New Roman" w:eastAsia="Times New Roman" w:hAnsi="Times New Roman" w:cs="Times New Roman"/>
                <w:b/>
                <w:bCs/>
                <w:sz w:val="24"/>
                <w:szCs w:val="24"/>
                <w:u w:val="double"/>
                <w:lang w:val="en-US" w:eastAsia="en-US" w:bidi="hi-IN"/>
              </w:rPr>
              <w:t>281</w:t>
            </w:r>
          </w:p>
        </w:tc>
        <w:tc>
          <w:tcPr>
            <w:tcW w:w="1120" w:type="dxa"/>
            <w:tcBorders>
              <w:top w:val="single" w:sz="4" w:space="0" w:color="auto"/>
              <w:left w:val="nil"/>
              <w:bottom w:val="single" w:sz="4" w:space="0" w:color="auto"/>
              <w:right w:val="single" w:sz="4" w:space="0" w:color="auto"/>
            </w:tcBorders>
            <w:shd w:val="clear" w:color="000000" w:fill="B7DEE8"/>
            <w:noWrap/>
            <w:vAlign w:val="bottom"/>
            <w:hideMark/>
          </w:tcPr>
          <w:p w14:paraId="4CFDA4FA" w14:textId="77777777" w:rsidR="003B07EA" w:rsidRPr="002E5F86" w:rsidRDefault="003B07EA" w:rsidP="00652892">
            <w:pPr>
              <w:spacing w:after="0" w:line="600" w:lineRule="auto"/>
              <w:jc w:val="right"/>
              <w:rPr>
                <w:rFonts w:ascii="Times New Roman" w:eastAsia="Times New Roman" w:hAnsi="Times New Roman" w:cs="Times New Roman"/>
                <w:b/>
                <w:bCs/>
                <w:sz w:val="24"/>
                <w:szCs w:val="24"/>
                <w:u w:val="double"/>
                <w:lang w:val="en-US" w:eastAsia="en-US" w:bidi="hi-IN"/>
              </w:rPr>
            </w:pPr>
            <w:r w:rsidRPr="002E5F86">
              <w:rPr>
                <w:rFonts w:ascii="Times New Roman" w:eastAsia="Times New Roman" w:hAnsi="Times New Roman" w:cs="Times New Roman"/>
                <w:b/>
                <w:bCs/>
                <w:sz w:val="24"/>
                <w:szCs w:val="24"/>
                <w:u w:val="double"/>
                <w:lang w:val="en-US" w:eastAsia="en-US" w:bidi="hi-IN"/>
              </w:rPr>
              <w:t>2659</w:t>
            </w:r>
          </w:p>
        </w:tc>
      </w:tr>
    </w:tbl>
    <w:p w14:paraId="7AF040A4" w14:textId="76FB17D3" w:rsidR="001A3F5A" w:rsidRPr="002E5F86" w:rsidRDefault="001A3F5A" w:rsidP="00652892">
      <w:pPr>
        <w:spacing w:after="60" w:line="600" w:lineRule="auto"/>
        <w:jc w:val="both"/>
        <w:rPr>
          <w:rFonts w:ascii="Times New Roman" w:hAnsi="Times New Roman" w:cs="Times New Roman"/>
          <w:sz w:val="24"/>
          <w:szCs w:val="24"/>
        </w:rPr>
      </w:pPr>
    </w:p>
    <w:p w14:paraId="6DECDFB1" w14:textId="77777777" w:rsidR="001A3F5A" w:rsidRPr="002E5F86" w:rsidRDefault="001A3F5A" w:rsidP="00652892">
      <w:pPr>
        <w:spacing w:after="60" w:line="600" w:lineRule="auto"/>
        <w:jc w:val="both"/>
        <w:rPr>
          <w:rFonts w:ascii="Times New Roman" w:hAnsi="Times New Roman" w:cs="Times New Roman"/>
          <w:b/>
          <w:sz w:val="24"/>
          <w:szCs w:val="24"/>
        </w:rPr>
      </w:pPr>
    </w:p>
    <w:p w14:paraId="334E7CEB" w14:textId="77777777" w:rsidR="001A3F5A" w:rsidRPr="002E5F86" w:rsidRDefault="001A3F5A" w:rsidP="00652892">
      <w:pPr>
        <w:spacing w:after="60" w:line="600" w:lineRule="auto"/>
        <w:jc w:val="both"/>
        <w:rPr>
          <w:rFonts w:ascii="Times New Roman" w:hAnsi="Times New Roman" w:cs="Times New Roman"/>
          <w:b/>
          <w:sz w:val="24"/>
          <w:szCs w:val="24"/>
        </w:rPr>
      </w:pPr>
    </w:p>
    <w:p w14:paraId="3554EE16" w14:textId="77777777" w:rsidR="006701E2" w:rsidRPr="002E5F86" w:rsidRDefault="006701E2" w:rsidP="00652892">
      <w:pPr>
        <w:spacing w:after="60" w:line="600" w:lineRule="auto"/>
        <w:jc w:val="both"/>
        <w:rPr>
          <w:rFonts w:ascii="Times New Roman" w:hAnsi="Times New Roman" w:cs="Times New Roman"/>
          <w:b/>
          <w:sz w:val="24"/>
          <w:szCs w:val="24"/>
        </w:rPr>
      </w:pPr>
    </w:p>
    <w:p w14:paraId="163EA38D" w14:textId="77777777" w:rsidR="006701E2" w:rsidRPr="002E5F86" w:rsidRDefault="006701E2" w:rsidP="00652892">
      <w:pPr>
        <w:spacing w:after="60" w:line="600" w:lineRule="auto"/>
        <w:jc w:val="both"/>
        <w:rPr>
          <w:rFonts w:ascii="Times New Roman" w:hAnsi="Times New Roman" w:cs="Times New Roman"/>
          <w:b/>
          <w:sz w:val="24"/>
          <w:szCs w:val="24"/>
        </w:rPr>
      </w:pPr>
    </w:p>
    <w:p w14:paraId="7C151EBA" w14:textId="77777777" w:rsidR="006701E2" w:rsidRPr="002E5F86" w:rsidRDefault="006701E2" w:rsidP="00652892">
      <w:pPr>
        <w:spacing w:after="60" w:line="600" w:lineRule="auto"/>
        <w:jc w:val="both"/>
        <w:rPr>
          <w:rFonts w:ascii="Times New Roman" w:hAnsi="Times New Roman" w:cs="Times New Roman"/>
          <w:b/>
          <w:sz w:val="24"/>
          <w:szCs w:val="24"/>
        </w:rPr>
      </w:pPr>
    </w:p>
    <w:p w14:paraId="5148C2DA" w14:textId="77777777" w:rsidR="006701E2" w:rsidRPr="002E5F86" w:rsidRDefault="006701E2" w:rsidP="00652892">
      <w:pPr>
        <w:spacing w:after="60" w:line="600" w:lineRule="auto"/>
        <w:jc w:val="both"/>
        <w:rPr>
          <w:rFonts w:ascii="Times New Roman" w:hAnsi="Times New Roman" w:cs="Times New Roman"/>
          <w:b/>
          <w:sz w:val="24"/>
          <w:szCs w:val="24"/>
        </w:rPr>
      </w:pPr>
    </w:p>
    <w:p w14:paraId="6F67F3A5" w14:textId="77777777" w:rsidR="006701E2" w:rsidRPr="002E5F86" w:rsidRDefault="006701E2" w:rsidP="00652892">
      <w:pPr>
        <w:spacing w:after="60" w:line="600" w:lineRule="auto"/>
        <w:jc w:val="both"/>
        <w:rPr>
          <w:rFonts w:ascii="Times New Roman" w:hAnsi="Times New Roman" w:cs="Times New Roman"/>
          <w:b/>
          <w:sz w:val="24"/>
          <w:szCs w:val="24"/>
        </w:rPr>
      </w:pPr>
    </w:p>
    <w:p w14:paraId="01FAE19A" w14:textId="77777777" w:rsidR="006701E2" w:rsidRPr="002E5F86" w:rsidRDefault="006701E2" w:rsidP="00652892">
      <w:pPr>
        <w:spacing w:after="60" w:line="600" w:lineRule="auto"/>
        <w:jc w:val="both"/>
        <w:rPr>
          <w:rFonts w:ascii="Times New Roman" w:hAnsi="Times New Roman" w:cs="Times New Roman"/>
          <w:b/>
          <w:sz w:val="24"/>
          <w:szCs w:val="24"/>
        </w:rPr>
      </w:pPr>
    </w:p>
    <w:p w14:paraId="10AD9090" w14:textId="77777777" w:rsidR="006701E2" w:rsidRPr="002E5F86" w:rsidRDefault="006701E2" w:rsidP="00652892">
      <w:pPr>
        <w:spacing w:after="60" w:line="600" w:lineRule="auto"/>
        <w:jc w:val="both"/>
        <w:rPr>
          <w:rFonts w:ascii="Times New Roman" w:hAnsi="Times New Roman" w:cs="Times New Roman"/>
          <w:b/>
          <w:sz w:val="24"/>
          <w:szCs w:val="24"/>
        </w:rPr>
      </w:pPr>
    </w:p>
    <w:p w14:paraId="6D8F9FF5" w14:textId="77777777" w:rsidR="006701E2" w:rsidRPr="002E5F86" w:rsidRDefault="006701E2" w:rsidP="00652892">
      <w:pPr>
        <w:spacing w:after="60" w:line="600" w:lineRule="auto"/>
        <w:jc w:val="both"/>
        <w:rPr>
          <w:rFonts w:ascii="Times New Roman" w:hAnsi="Times New Roman" w:cs="Times New Roman"/>
          <w:b/>
          <w:sz w:val="24"/>
          <w:szCs w:val="24"/>
        </w:rPr>
      </w:pPr>
    </w:p>
    <w:p w14:paraId="39F85AF6" w14:textId="77777777" w:rsidR="006701E2" w:rsidRPr="002E5F86" w:rsidRDefault="006701E2" w:rsidP="00652892">
      <w:pPr>
        <w:spacing w:after="60" w:line="600" w:lineRule="auto"/>
        <w:jc w:val="both"/>
        <w:rPr>
          <w:rFonts w:ascii="Times New Roman" w:hAnsi="Times New Roman" w:cs="Times New Roman"/>
          <w:b/>
          <w:sz w:val="24"/>
          <w:szCs w:val="24"/>
        </w:rPr>
      </w:pPr>
    </w:p>
    <w:p w14:paraId="07C66ADC" w14:textId="77777777" w:rsidR="006701E2" w:rsidRPr="002E5F86" w:rsidRDefault="006701E2" w:rsidP="00652892">
      <w:pPr>
        <w:spacing w:after="60" w:line="600" w:lineRule="auto"/>
        <w:jc w:val="both"/>
        <w:rPr>
          <w:rFonts w:ascii="Times New Roman" w:hAnsi="Times New Roman" w:cs="Times New Roman"/>
          <w:b/>
          <w:sz w:val="24"/>
          <w:szCs w:val="24"/>
        </w:rPr>
      </w:pPr>
    </w:p>
    <w:p w14:paraId="61FE2514" w14:textId="77777777" w:rsidR="006701E2" w:rsidRPr="002E5F86" w:rsidRDefault="006701E2" w:rsidP="00652892">
      <w:pPr>
        <w:spacing w:after="60" w:line="600" w:lineRule="auto"/>
        <w:jc w:val="both"/>
        <w:rPr>
          <w:rFonts w:ascii="Times New Roman" w:hAnsi="Times New Roman" w:cs="Times New Roman"/>
          <w:b/>
          <w:sz w:val="24"/>
          <w:szCs w:val="24"/>
        </w:rPr>
      </w:pPr>
    </w:p>
    <w:p w14:paraId="6DE16214" w14:textId="77777777" w:rsidR="006701E2" w:rsidRPr="002E5F86" w:rsidRDefault="006701E2" w:rsidP="00652892">
      <w:pPr>
        <w:spacing w:after="60" w:line="600" w:lineRule="auto"/>
        <w:jc w:val="both"/>
        <w:rPr>
          <w:rFonts w:ascii="Times New Roman" w:hAnsi="Times New Roman" w:cs="Times New Roman"/>
          <w:b/>
          <w:sz w:val="24"/>
          <w:szCs w:val="24"/>
        </w:rPr>
      </w:pPr>
    </w:p>
    <w:p w14:paraId="580F2266" w14:textId="37904933"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2 – Reformatted P&amp;L</w:t>
      </w:r>
    </w:p>
    <w:p w14:paraId="57A77AF2" w14:textId="1CAE68D4" w:rsidR="001A3F5A" w:rsidRPr="002E5F86" w:rsidRDefault="003B07EA" w:rsidP="00652892">
      <w:pPr>
        <w:spacing w:after="60" w:line="600" w:lineRule="auto"/>
        <w:jc w:val="both"/>
        <w:rPr>
          <w:rFonts w:ascii="Times New Roman" w:hAnsi="Times New Roman" w:cs="Times New Roman"/>
          <w:sz w:val="24"/>
          <w:szCs w:val="24"/>
        </w:rPr>
      </w:pPr>
      <w:r w:rsidRPr="002E5F86">
        <w:rPr>
          <w:rFonts w:ascii="Times New Roman" w:hAnsi="Times New Roman" w:cs="Times New Roman"/>
          <w:noProof/>
          <w:sz w:val="24"/>
          <w:szCs w:val="24"/>
          <w:lang w:val="en-US" w:eastAsia="en-US"/>
        </w:rPr>
        <w:lastRenderedPageBreak/>
        <w:drawing>
          <wp:inline distT="0" distB="0" distL="0" distR="0" wp14:anchorId="5C2904C5" wp14:editId="2821716B">
            <wp:extent cx="5759450" cy="938599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385992"/>
                    </a:xfrm>
                    <a:prstGeom prst="rect">
                      <a:avLst/>
                    </a:prstGeom>
                    <a:noFill/>
                    <a:ln>
                      <a:noFill/>
                    </a:ln>
                  </pic:spPr>
                </pic:pic>
              </a:graphicData>
            </a:graphic>
          </wp:inline>
        </w:drawing>
      </w:r>
    </w:p>
    <w:p w14:paraId="4F24723A" w14:textId="77777777" w:rsidR="001A3F5A" w:rsidRPr="002E5F86" w:rsidRDefault="001A3F5A" w:rsidP="00652892">
      <w:pPr>
        <w:spacing w:after="60" w:line="600" w:lineRule="auto"/>
        <w:jc w:val="both"/>
        <w:rPr>
          <w:rFonts w:ascii="Times New Roman" w:hAnsi="Times New Roman" w:cs="Times New Roman"/>
          <w:sz w:val="24"/>
          <w:szCs w:val="24"/>
        </w:rPr>
      </w:pPr>
    </w:p>
    <w:p w14:paraId="443EEC84"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3 – Ratio Analysis</w:t>
      </w:r>
    </w:p>
    <w:tbl>
      <w:tblPr>
        <w:tblW w:w="9080" w:type="dxa"/>
        <w:tblInd w:w="118" w:type="dxa"/>
        <w:tblLook w:val="04A0" w:firstRow="1" w:lastRow="0" w:firstColumn="1" w:lastColumn="0" w:noHBand="0" w:noVBand="1"/>
      </w:tblPr>
      <w:tblGrid>
        <w:gridCol w:w="5040"/>
        <w:gridCol w:w="1040"/>
        <w:gridCol w:w="996"/>
        <w:gridCol w:w="996"/>
        <w:gridCol w:w="1040"/>
      </w:tblGrid>
      <w:tr w:rsidR="008D497D" w:rsidRPr="002E5F86" w14:paraId="257D1109" w14:textId="77777777" w:rsidTr="008D497D">
        <w:trPr>
          <w:trHeight w:val="276"/>
        </w:trPr>
        <w:tc>
          <w:tcPr>
            <w:tcW w:w="5040" w:type="dxa"/>
            <w:vMerge w:val="restart"/>
            <w:tcBorders>
              <w:top w:val="single" w:sz="8" w:space="0" w:color="auto"/>
              <w:left w:val="single" w:sz="8" w:space="0" w:color="auto"/>
              <w:bottom w:val="single" w:sz="4" w:space="0" w:color="000000"/>
              <w:right w:val="single" w:sz="8" w:space="0" w:color="auto"/>
            </w:tcBorders>
            <w:shd w:val="clear" w:color="000000" w:fill="7030A0"/>
            <w:noWrap/>
            <w:vAlign w:val="center"/>
            <w:hideMark/>
          </w:tcPr>
          <w:p w14:paraId="2328D3B1" w14:textId="77777777" w:rsidR="008D497D" w:rsidRPr="002E5F86" w:rsidRDefault="008D497D" w:rsidP="00652892">
            <w:pPr>
              <w:spacing w:after="0" w:line="600" w:lineRule="auto"/>
              <w:jc w:val="center"/>
              <w:rPr>
                <w:rFonts w:ascii="Times New Roman" w:eastAsia="Times New Roman" w:hAnsi="Times New Roman" w:cs="Times New Roman"/>
                <w:color w:val="FFFFFF"/>
                <w:sz w:val="24"/>
                <w:szCs w:val="24"/>
                <w:lang w:val="en-US" w:eastAsia="en-US" w:bidi="hi-IN"/>
              </w:rPr>
            </w:pPr>
            <w:r w:rsidRPr="002E5F86">
              <w:rPr>
                <w:rFonts w:ascii="Times New Roman" w:eastAsia="Times New Roman" w:hAnsi="Times New Roman" w:cs="Times New Roman"/>
                <w:color w:val="FFFFFF"/>
                <w:sz w:val="24"/>
                <w:szCs w:val="24"/>
                <w:lang w:val="en-US" w:eastAsia="en-US" w:bidi="hi-IN"/>
              </w:rPr>
              <w:t>Ratio Analysis</w:t>
            </w:r>
          </w:p>
        </w:tc>
        <w:tc>
          <w:tcPr>
            <w:tcW w:w="1040" w:type="dxa"/>
            <w:tcBorders>
              <w:top w:val="single" w:sz="8" w:space="0" w:color="auto"/>
              <w:left w:val="nil"/>
              <w:bottom w:val="single" w:sz="4" w:space="0" w:color="auto"/>
              <w:right w:val="single" w:sz="4" w:space="0" w:color="auto"/>
            </w:tcBorders>
            <w:shd w:val="clear" w:color="000000" w:fill="B1A0C7"/>
            <w:noWrap/>
            <w:vAlign w:val="bottom"/>
            <w:hideMark/>
          </w:tcPr>
          <w:p w14:paraId="704E0317"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2012</w:t>
            </w:r>
          </w:p>
        </w:tc>
        <w:tc>
          <w:tcPr>
            <w:tcW w:w="980" w:type="dxa"/>
            <w:tcBorders>
              <w:top w:val="single" w:sz="8" w:space="0" w:color="auto"/>
              <w:left w:val="nil"/>
              <w:bottom w:val="nil"/>
              <w:right w:val="single" w:sz="4" w:space="0" w:color="auto"/>
            </w:tcBorders>
            <w:shd w:val="clear" w:color="000000" w:fill="B1A0C7"/>
            <w:noWrap/>
            <w:vAlign w:val="bottom"/>
            <w:hideMark/>
          </w:tcPr>
          <w:p w14:paraId="7BD988BB"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2013</w:t>
            </w:r>
          </w:p>
        </w:tc>
        <w:tc>
          <w:tcPr>
            <w:tcW w:w="980" w:type="dxa"/>
            <w:tcBorders>
              <w:top w:val="single" w:sz="8" w:space="0" w:color="auto"/>
              <w:left w:val="nil"/>
              <w:bottom w:val="nil"/>
              <w:right w:val="single" w:sz="4" w:space="0" w:color="auto"/>
            </w:tcBorders>
            <w:shd w:val="clear" w:color="000000" w:fill="B1A0C7"/>
            <w:noWrap/>
            <w:vAlign w:val="bottom"/>
            <w:hideMark/>
          </w:tcPr>
          <w:p w14:paraId="635F660B"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2014</w:t>
            </w:r>
          </w:p>
        </w:tc>
        <w:tc>
          <w:tcPr>
            <w:tcW w:w="1040" w:type="dxa"/>
            <w:tcBorders>
              <w:top w:val="single" w:sz="8" w:space="0" w:color="auto"/>
              <w:left w:val="nil"/>
              <w:bottom w:val="nil"/>
              <w:right w:val="single" w:sz="4" w:space="0" w:color="auto"/>
            </w:tcBorders>
            <w:shd w:val="clear" w:color="000000" w:fill="B1A0C7"/>
            <w:noWrap/>
            <w:vAlign w:val="bottom"/>
            <w:hideMark/>
          </w:tcPr>
          <w:p w14:paraId="5DDA946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2015</w:t>
            </w:r>
          </w:p>
        </w:tc>
      </w:tr>
      <w:tr w:rsidR="008D497D" w:rsidRPr="002E5F86" w14:paraId="6B4CB515" w14:textId="77777777" w:rsidTr="008D497D">
        <w:trPr>
          <w:trHeight w:val="276"/>
        </w:trPr>
        <w:tc>
          <w:tcPr>
            <w:tcW w:w="5040" w:type="dxa"/>
            <w:vMerge/>
            <w:tcBorders>
              <w:top w:val="single" w:sz="8" w:space="0" w:color="auto"/>
              <w:left w:val="single" w:sz="8" w:space="0" w:color="auto"/>
              <w:bottom w:val="single" w:sz="4" w:space="0" w:color="000000"/>
              <w:right w:val="single" w:sz="8" w:space="0" w:color="auto"/>
            </w:tcBorders>
            <w:vAlign w:val="center"/>
            <w:hideMark/>
          </w:tcPr>
          <w:p w14:paraId="4A034E46" w14:textId="77777777" w:rsidR="008D497D" w:rsidRPr="002E5F86" w:rsidRDefault="008D497D" w:rsidP="00652892">
            <w:pPr>
              <w:spacing w:after="0" w:line="600" w:lineRule="auto"/>
              <w:rPr>
                <w:rFonts w:ascii="Times New Roman" w:eastAsia="Times New Roman" w:hAnsi="Times New Roman" w:cs="Times New Roman"/>
                <w:color w:val="FFFFFF"/>
                <w:sz w:val="24"/>
                <w:szCs w:val="24"/>
                <w:lang w:val="en-US" w:eastAsia="en-US" w:bidi="hi-IN"/>
              </w:rPr>
            </w:pPr>
          </w:p>
        </w:tc>
        <w:tc>
          <w:tcPr>
            <w:tcW w:w="1040" w:type="dxa"/>
            <w:tcBorders>
              <w:top w:val="nil"/>
              <w:left w:val="nil"/>
              <w:bottom w:val="single" w:sz="4" w:space="0" w:color="auto"/>
              <w:right w:val="single" w:sz="4" w:space="0" w:color="auto"/>
            </w:tcBorders>
            <w:shd w:val="clear" w:color="000000" w:fill="7030A0"/>
            <w:noWrap/>
            <w:vAlign w:val="bottom"/>
            <w:hideMark/>
          </w:tcPr>
          <w:p w14:paraId="7BDEC29F" w14:textId="77777777" w:rsidR="008D497D" w:rsidRPr="002E5F86" w:rsidRDefault="008D497D" w:rsidP="00652892">
            <w:pPr>
              <w:spacing w:after="0" w:line="600" w:lineRule="auto"/>
              <w:jc w:val="right"/>
              <w:rPr>
                <w:rFonts w:ascii="Times New Roman" w:eastAsia="Times New Roman" w:hAnsi="Times New Roman" w:cs="Times New Roman"/>
                <w:color w:val="FFFFFF"/>
                <w:sz w:val="24"/>
                <w:szCs w:val="24"/>
                <w:lang w:val="en-US" w:eastAsia="en-US" w:bidi="hi-IN"/>
              </w:rPr>
            </w:pPr>
            <w:r w:rsidRPr="002E5F86">
              <w:rPr>
                <w:rFonts w:ascii="Times New Roman" w:eastAsia="Times New Roman" w:hAnsi="Times New Roman" w:cs="Times New Roman"/>
                <w:color w:val="FFFFFF"/>
                <w:sz w:val="24"/>
                <w:szCs w:val="24"/>
                <w:lang w:val="en-US" w:eastAsia="en-US" w:bidi="hi-IN"/>
              </w:rPr>
              <w:t>$000</w:t>
            </w:r>
          </w:p>
        </w:tc>
        <w:tc>
          <w:tcPr>
            <w:tcW w:w="980" w:type="dxa"/>
            <w:tcBorders>
              <w:top w:val="single" w:sz="4" w:space="0" w:color="auto"/>
              <w:left w:val="nil"/>
              <w:bottom w:val="single" w:sz="4" w:space="0" w:color="auto"/>
              <w:right w:val="single" w:sz="4" w:space="0" w:color="auto"/>
            </w:tcBorders>
            <w:shd w:val="clear" w:color="000000" w:fill="7030A0"/>
            <w:noWrap/>
            <w:vAlign w:val="bottom"/>
            <w:hideMark/>
          </w:tcPr>
          <w:p w14:paraId="2BDD3CE2" w14:textId="77777777" w:rsidR="008D497D" w:rsidRPr="002E5F86" w:rsidRDefault="008D497D" w:rsidP="00652892">
            <w:pPr>
              <w:spacing w:after="0" w:line="600" w:lineRule="auto"/>
              <w:jc w:val="right"/>
              <w:rPr>
                <w:rFonts w:ascii="Times New Roman" w:eastAsia="Times New Roman" w:hAnsi="Times New Roman" w:cs="Times New Roman"/>
                <w:color w:val="FFFFFF"/>
                <w:sz w:val="24"/>
                <w:szCs w:val="24"/>
                <w:lang w:val="en-US" w:eastAsia="en-US" w:bidi="hi-IN"/>
              </w:rPr>
            </w:pPr>
            <w:r w:rsidRPr="002E5F86">
              <w:rPr>
                <w:rFonts w:ascii="Times New Roman" w:eastAsia="Times New Roman" w:hAnsi="Times New Roman" w:cs="Times New Roman"/>
                <w:color w:val="FFFFFF"/>
                <w:sz w:val="24"/>
                <w:szCs w:val="24"/>
                <w:lang w:val="en-US" w:eastAsia="en-US" w:bidi="hi-IN"/>
              </w:rPr>
              <w:t>$000</w:t>
            </w:r>
          </w:p>
        </w:tc>
        <w:tc>
          <w:tcPr>
            <w:tcW w:w="980" w:type="dxa"/>
            <w:tcBorders>
              <w:top w:val="single" w:sz="4" w:space="0" w:color="auto"/>
              <w:left w:val="nil"/>
              <w:bottom w:val="single" w:sz="4" w:space="0" w:color="auto"/>
              <w:right w:val="single" w:sz="4" w:space="0" w:color="auto"/>
            </w:tcBorders>
            <w:shd w:val="clear" w:color="000000" w:fill="7030A0"/>
            <w:noWrap/>
            <w:vAlign w:val="bottom"/>
            <w:hideMark/>
          </w:tcPr>
          <w:p w14:paraId="61756BF6" w14:textId="77777777" w:rsidR="008D497D" w:rsidRPr="002E5F86" w:rsidRDefault="008D497D" w:rsidP="00652892">
            <w:pPr>
              <w:spacing w:after="0" w:line="600" w:lineRule="auto"/>
              <w:jc w:val="right"/>
              <w:rPr>
                <w:rFonts w:ascii="Times New Roman" w:eastAsia="Times New Roman" w:hAnsi="Times New Roman" w:cs="Times New Roman"/>
                <w:color w:val="FFFFFF"/>
                <w:sz w:val="24"/>
                <w:szCs w:val="24"/>
                <w:lang w:val="en-US" w:eastAsia="en-US" w:bidi="hi-IN"/>
              </w:rPr>
            </w:pPr>
            <w:r w:rsidRPr="002E5F86">
              <w:rPr>
                <w:rFonts w:ascii="Times New Roman" w:eastAsia="Times New Roman" w:hAnsi="Times New Roman" w:cs="Times New Roman"/>
                <w:color w:val="FFFFFF"/>
                <w:sz w:val="24"/>
                <w:szCs w:val="24"/>
                <w:lang w:val="en-US" w:eastAsia="en-US" w:bidi="hi-IN"/>
              </w:rPr>
              <w:t>$000</w:t>
            </w:r>
          </w:p>
        </w:tc>
        <w:tc>
          <w:tcPr>
            <w:tcW w:w="1040" w:type="dxa"/>
            <w:tcBorders>
              <w:top w:val="single" w:sz="4" w:space="0" w:color="auto"/>
              <w:left w:val="nil"/>
              <w:bottom w:val="single" w:sz="4" w:space="0" w:color="auto"/>
              <w:right w:val="single" w:sz="4" w:space="0" w:color="auto"/>
            </w:tcBorders>
            <w:shd w:val="clear" w:color="000000" w:fill="7030A0"/>
            <w:noWrap/>
            <w:vAlign w:val="bottom"/>
            <w:hideMark/>
          </w:tcPr>
          <w:p w14:paraId="70BBAF9B" w14:textId="77777777" w:rsidR="008D497D" w:rsidRPr="002E5F86" w:rsidRDefault="008D497D" w:rsidP="00652892">
            <w:pPr>
              <w:spacing w:after="0" w:line="600" w:lineRule="auto"/>
              <w:jc w:val="right"/>
              <w:rPr>
                <w:rFonts w:ascii="Times New Roman" w:eastAsia="Times New Roman" w:hAnsi="Times New Roman" w:cs="Times New Roman"/>
                <w:color w:val="FFFFFF"/>
                <w:sz w:val="24"/>
                <w:szCs w:val="24"/>
                <w:lang w:val="en-US" w:eastAsia="en-US" w:bidi="hi-IN"/>
              </w:rPr>
            </w:pPr>
            <w:r w:rsidRPr="002E5F86">
              <w:rPr>
                <w:rFonts w:ascii="Times New Roman" w:eastAsia="Times New Roman" w:hAnsi="Times New Roman" w:cs="Times New Roman"/>
                <w:color w:val="FFFFFF"/>
                <w:sz w:val="24"/>
                <w:szCs w:val="24"/>
                <w:lang w:val="en-US" w:eastAsia="en-US" w:bidi="hi-IN"/>
              </w:rPr>
              <w:t>$000</w:t>
            </w:r>
          </w:p>
        </w:tc>
      </w:tr>
      <w:tr w:rsidR="008D497D" w:rsidRPr="002E5F86" w14:paraId="4C43422A"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78CBD67E"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Return on equity Traditional approach</w:t>
            </w:r>
          </w:p>
        </w:tc>
        <w:tc>
          <w:tcPr>
            <w:tcW w:w="1040" w:type="dxa"/>
            <w:tcBorders>
              <w:top w:val="nil"/>
              <w:left w:val="nil"/>
              <w:bottom w:val="nil"/>
              <w:right w:val="single" w:sz="4" w:space="0" w:color="auto"/>
            </w:tcBorders>
            <w:shd w:val="clear" w:color="000000" w:fill="B7DEE8"/>
            <w:noWrap/>
            <w:vAlign w:val="center"/>
            <w:hideMark/>
          </w:tcPr>
          <w:p w14:paraId="3EF0A75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314FBEE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B5B235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5266C93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6D232C72"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B4E1BA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Net income</w:t>
            </w:r>
          </w:p>
        </w:tc>
        <w:tc>
          <w:tcPr>
            <w:tcW w:w="1040" w:type="dxa"/>
            <w:tcBorders>
              <w:top w:val="nil"/>
              <w:left w:val="nil"/>
              <w:bottom w:val="nil"/>
              <w:right w:val="single" w:sz="4" w:space="0" w:color="auto"/>
            </w:tcBorders>
            <w:shd w:val="clear" w:color="000000" w:fill="B7DEE8"/>
            <w:noWrap/>
            <w:vAlign w:val="center"/>
            <w:hideMark/>
          </w:tcPr>
          <w:p w14:paraId="0E8799B5"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222</w:t>
            </w:r>
          </w:p>
        </w:tc>
        <w:tc>
          <w:tcPr>
            <w:tcW w:w="980" w:type="dxa"/>
            <w:tcBorders>
              <w:top w:val="nil"/>
              <w:left w:val="nil"/>
              <w:bottom w:val="nil"/>
              <w:right w:val="single" w:sz="4" w:space="0" w:color="auto"/>
            </w:tcBorders>
            <w:shd w:val="clear" w:color="000000" w:fill="B7DEE8"/>
            <w:noWrap/>
            <w:vAlign w:val="center"/>
            <w:hideMark/>
          </w:tcPr>
          <w:p w14:paraId="03206589"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284</w:t>
            </w:r>
          </w:p>
        </w:tc>
        <w:tc>
          <w:tcPr>
            <w:tcW w:w="980" w:type="dxa"/>
            <w:tcBorders>
              <w:top w:val="nil"/>
              <w:left w:val="nil"/>
              <w:bottom w:val="nil"/>
              <w:right w:val="single" w:sz="4" w:space="0" w:color="auto"/>
            </w:tcBorders>
            <w:shd w:val="clear" w:color="000000" w:fill="B7DEE8"/>
            <w:noWrap/>
            <w:vAlign w:val="center"/>
            <w:hideMark/>
          </w:tcPr>
          <w:p w14:paraId="0CE3F5C4"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190</w:t>
            </w:r>
          </w:p>
        </w:tc>
        <w:tc>
          <w:tcPr>
            <w:tcW w:w="1040" w:type="dxa"/>
            <w:tcBorders>
              <w:top w:val="nil"/>
              <w:left w:val="nil"/>
              <w:bottom w:val="nil"/>
              <w:right w:val="single" w:sz="4" w:space="0" w:color="auto"/>
            </w:tcBorders>
            <w:shd w:val="clear" w:color="000000" w:fill="B7DEE8"/>
            <w:noWrap/>
            <w:vAlign w:val="center"/>
            <w:hideMark/>
          </w:tcPr>
          <w:p w14:paraId="20580E24"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197</w:t>
            </w:r>
          </w:p>
        </w:tc>
      </w:tr>
      <w:tr w:rsidR="008D497D" w:rsidRPr="002E5F86" w14:paraId="327EB364"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796CF6E7"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Average </w:t>
            </w:r>
            <w:proofErr w:type="spellStart"/>
            <w:r w:rsidRPr="002E5F86">
              <w:rPr>
                <w:rFonts w:ascii="Times New Roman" w:eastAsia="Times New Roman" w:hAnsi="Times New Roman" w:cs="Times New Roman"/>
                <w:color w:val="000000"/>
                <w:sz w:val="24"/>
                <w:szCs w:val="24"/>
                <w:lang w:val="en-US" w:eastAsia="en-US" w:bidi="hi-IN"/>
              </w:rPr>
              <w:t>shareholders</w:t>
            </w:r>
            <w:proofErr w:type="spellEnd"/>
            <w:r w:rsidRPr="002E5F86">
              <w:rPr>
                <w:rFonts w:ascii="Times New Roman" w:eastAsia="Times New Roman" w:hAnsi="Times New Roman" w:cs="Times New Roman"/>
                <w:color w:val="000000"/>
                <w:sz w:val="24"/>
                <w:szCs w:val="24"/>
                <w:lang w:val="en-US" w:eastAsia="en-US" w:bidi="hi-IN"/>
              </w:rPr>
              <w:t xml:space="preserve"> equity</w:t>
            </w:r>
          </w:p>
        </w:tc>
        <w:tc>
          <w:tcPr>
            <w:tcW w:w="1040" w:type="dxa"/>
            <w:tcBorders>
              <w:top w:val="nil"/>
              <w:left w:val="nil"/>
              <w:bottom w:val="nil"/>
              <w:right w:val="single" w:sz="4" w:space="0" w:color="auto"/>
            </w:tcBorders>
            <w:shd w:val="clear" w:color="000000" w:fill="B7DEE8"/>
            <w:noWrap/>
            <w:vAlign w:val="center"/>
            <w:hideMark/>
          </w:tcPr>
          <w:p w14:paraId="6448EA4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C50E1C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8614</w:t>
            </w:r>
          </w:p>
        </w:tc>
        <w:tc>
          <w:tcPr>
            <w:tcW w:w="980" w:type="dxa"/>
            <w:tcBorders>
              <w:top w:val="nil"/>
              <w:left w:val="nil"/>
              <w:bottom w:val="nil"/>
              <w:right w:val="single" w:sz="4" w:space="0" w:color="auto"/>
            </w:tcBorders>
            <w:shd w:val="clear" w:color="000000" w:fill="B7DEE8"/>
            <w:noWrap/>
            <w:vAlign w:val="center"/>
            <w:hideMark/>
          </w:tcPr>
          <w:p w14:paraId="25F2D21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9645</w:t>
            </w:r>
          </w:p>
        </w:tc>
        <w:tc>
          <w:tcPr>
            <w:tcW w:w="1040" w:type="dxa"/>
            <w:tcBorders>
              <w:top w:val="nil"/>
              <w:left w:val="nil"/>
              <w:bottom w:val="nil"/>
              <w:right w:val="single" w:sz="4" w:space="0" w:color="auto"/>
            </w:tcBorders>
            <w:shd w:val="clear" w:color="000000" w:fill="B7DEE8"/>
            <w:noWrap/>
            <w:vAlign w:val="center"/>
            <w:hideMark/>
          </w:tcPr>
          <w:p w14:paraId="6F7339D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10547</w:t>
            </w:r>
          </w:p>
        </w:tc>
      </w:tr>
      <w:tr w:rsidR="008D497D" w:rsidRPr="002E5F86" w14:paraId="6437B360"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41B4C57D"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ROE</w:t>
            </w:r>
          </w:p>
        </w:tc>
        <w:tc>
          <w:tcPr>
            <w:tcW w:w="1040" w:type="dxa"/>
            <w:tcBorders>
              <w:top w:val="nil"/>
              <w:left w:val="nil"/>
              <w:bottom w:val="single" w:sz="4" w:space="0" w:color="auto"/>
              <w:right w:val="single" w:sz="4" w:space="0" w:color="auto"/>
            </w:tcBorders>
            <w:shd w:val="clear" w:color="000000" w:fill="7030A0"/>
            <w:noWrap/>
            <w:vAlign w:val="center"/>
            <w:hideMark/>
          </w:tcPr>
          <w:p w14:paraId="4F093529"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2F493D30"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3.29%</w:t>
            </w:r>
          </w:p>
        </w:tc>
        <w:tc>
          <w:tcPr>
            <w:tcW w:w="980" w:type="dxa"/>
            <w:tcBorders>
              <w:top w:val="nil"/>
              <w:left w:val="nil"/>
              <w:bottom w:val="single" w:sz="4" w:space="0" w:color="auto"/>
              <w:right w:val="single" w:sz="4" w:space="0" w:color="auto"/>
            </w:tcBorders>
            <w:shd w:val="clear" w:color="000000" w:fill="7030A0"/>
            <w:noWrap/>
            <w:vAlign w:val="center"/>
            <w:hideMark/>
          </w:tcPr>
          <w:p w14:paraId="27BD255E"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1.97%</w:t>
            </w:r>
          </w:p>
        </w:tc>
        <w:tc>
          <w:tcPr>
            <w:tcW w:w="1040" w:type="dxa"/>
            <w:tcBorders>
              <w:top w:val="nil"/>
              <w:left w:val="nil"/>
              <w:bottom w:val="single" w:sz="4" w:space="0" w:color="auto"/>
              <w:right w:val="single" w:sz="4" w:space="0" w:color="auto"/>
            </w:tcBorders>
            <w:shd w:val="clear" w:color="000000" w:fill="7030A0"/>
            <w:noWrap/>
            <w:vAlign w:val="center"/>
            <w:hideMark/>
          </w:tcPr>
          <w:p w14:paraId="1E4F5334"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1.87%</w:t>
            </w:r>
          </w:p>
        </w:tc>
      </w:tr>
      <w:tr w:rsidR="008D497D" w:rsidRPr="002E5F86" w14:paraId="659CEB4F"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7E960A3"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Return on equity - An Alternative approach</w:t>
            </w:r>
          </w:p>
        </w:tc>
        <w:tc>
          <w:tcPr>
            <w:tcW w:w="1040" w:type="dxa"/>
            <w:tcBorders>
              <w:top w:val="nil"/>
              <w:left w:val="nil"/>
              <w:bottom w:val="nil"/>
              <w:right w:val="single" w:sz="4" w:space="0" w:color="auto"/>
            </w:tcBorders>
            <w:shd w:val="clear" w:color="000000" w:fill="B7DEE8"/>
            <w:noWrap/>
            <w:vAlign w:val="center"/>
            <w:hideMark/>
          </w:tcPr>
          <w:p w14:paraId="5F2D233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61AD7C5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788747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28E7F48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254FDE44"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FFC10B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ROE = RNOA + (FLEV*SPREAD)</w:t>
            </w:r>
          </w:p>
        </w:tc>
        <w:tc>
          <w:tcPr>
            <w:tcW w:w="1040" w:type="dxa"/>
            <w:tcBorders>
              <w:top w:val="nil"/>
              <w:left w:val="nil"/>
              <w:bottom w:val="nil"/>
              <w:right w:val="single" w:sz="4" w:space="0" w:color="auto"/>
            </w:tcBorders>
            <w:shd w:val="clear" w:color="000000" w:fill="B7DEE8"/>
            <w:noWrap/>
            <w:vAlign w:val="center"/>
            <w:hideMark/>
          </w:tcPr>
          <w:p w14:paraId="141AF0B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68924079"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78.28%</w:t>
            </w:r>
          </w:p>
        </w:tc>
        <w:tc>
          <w:tcPr>
            <w:tcW w:w="980" w:type="dxa"/>
            <w:tcBorders>
              <w:top w:val="nil"/>
              <w:left w:val="nil"/>
              <w:bottom w:val="nil"/>
              <w:right w:val="single" w:sz="4" w:space="0" w:color="auto"/>
            </w:tcBorders>
            <w:shd w:val="clear" w:color="000000" w:fill="B7DEE8"/>
            <w:noWrap/>
            <w:vAlign w:val="center"/>
            <w:hideMark/>
          </w:tcPr>
          <w:p w14:paraId="4DC05C8A"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59.54%</w:t>
            </w:r>
          </w:p>
        </w:tc>
        <w:tc>
          <w:tcPr>
            <w:tcW w:w="1040" w:type="dxa"/>
            <w:tcBorders>
              <w:top w:val="nil"/>
              <w:left w:val="nil"/>
              <w:bottom w:val="nil"/>
              <w:right w:val="single" w:sz="4" w:space="0" w:color="auto"/>
            </w:tcBorders>
            <w:shd w:val="clear" w:color="000000" w:fill="B7DEE8"/>
            <w:noWrap/>
            <w:vAlign w:val="center"/>
            <w:hideMark/>
          </w:tcPr>
          <w:p w14:paraId="67AAFA44"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48.59%</w:t>
            </w:r>
          </w:p>
        </w:tc>
      </w:tr>
      <w:tr w:rsidR="008D497D" w:rsidRPr="002E5F86" w14:paraId="1AE4C560"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040EAF33"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ROE = (PM*ATO) + (FLEV * RNOA - NBC)</w:t>
            </w:r>
          </w:p>
        </w:tc>
        <w:tc>
          <w:tcPr>
            <w:tcW w:w="1040" w:type="dxa"/>
            <w:tcBorders>
              <w:top w:val="nil"/>
              <w:left w:val="nil"/>
              <w:bottom w:val="single" w:sz="4" w:space="0" w:color="auto"/>
              <w:right w:val="single" w:sz="4" w:space="0" w:color="auto"/>
            </w:tcBorders>
            <w:shd w:val="clear" w:color="000000" w:fill="7030A0"/>
            <w:noWrap/>
            <w:vAlign w:val="center"/>
            <w:hideMark/>
          </w:tcPr>
          <w:p w14:paraId="4263D87F"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0B7556FB"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78.28%</w:t>
            </w:r>
          </w:p>
        </w:tc>
        <w:tc>
          <w:tcPr>
            <w:tcW w:w="980" w:type="dxa"/>
            <w:tcBorders>
              <w:top w:val="nil"/>
              <w:left w:val="nil"/>
              <w:bottom w:val="single" w:sz="4" w:space="0" w:color="auto"/>
              <w:right w:val="single" w:sz="4" w:space="0" w:color="auto"/>
            </w:tcBorders>
            <w:shd w:val="clear" w:color="000000" w:fill="7030A0"/>
            <w:noWrap/>
            <w:vAlign w:val="center"/>
            <w:hideMark/>
          </w:tcPr>
          <w:p w14:paraId="2F96A2AB"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59.54%</w:t>
            </w:r>
          </w:p>
        </w:tc>
        <w:tc>
          <w:tcPr>
            <w:tcW w:w="1040" w:type="dxa"/>
            <w:tcBorders>
              <w:top w:val="nil"/>
              <w:left w:val="nil"/>
              <w:bottom w:val="single" w:sz="4" w:space="0" w:color="auto"/>
              <w:right w:val="single" w:sz="4" w:space="0" w:color="auto"/>
            </w:tcBorders>
            <w:shd w:val="clear" w:color="000000" w:fill="7030A0"/>
            <w:noWrap/>
            <w:vAlign w:val="center"/>
            <w:hideMark/>
          </w:tcPr>
          <w:p w14:paraId="40EB3889"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48.59%</w:t>
            </w:r>
          </w:p>
        </w:tc>
      </w:tr>
      <w:tr w:rsidR="008D497D" w:rsidRPr="002E5F86" w14:paraId="4B042A9F"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5574B30A"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Return on Net Operating Assets</w:t>
            </w:r>
          </w:p>
        </w:tc>
        <w:tc>
          <w:tcPr>
            <w:tcW w:w="1040" w:type="dxa"/>
            <w:tcBorders>
              <w:top w:val="nil"/>
              <w:left w:val="nil"/>
              <w:bottom w:val="nil"/>
              <w:right w:val="single" w:sz="4" w:space="0" w:color="auto"/>
            </w:tcBorders>
            <w:shd w:val="clear" w:color="000000" w:fill="B7DEE8"/>
            <w:noWrap/>
            <w:vAlign w:val="center"/>
            <w:hideMark/>
          </w:tcPr>
          <w:p w14:paraId="7905653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F07EB7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4DE1B01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662C429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228ED4DB"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79E3E85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OROA = NOPAT/Average Net Operating Assets</w:t>
            </w:r>
          </w:p>
        </w:tc>
        <w:tc>
          <w:tcPr>
            <w:tcW w:w="1040" w:type="dxa"/>
            <w:tcBorders>
              <w:top w:val="nil"/>
              <w:left w:val="nil"/>
              <w:bottom w:val="nil"/>
              <w:right w:val="single" w:sz="4" w:space="0" w:color="auto"/>
            </w:tcBorders>
            <w:shd w:val="clear" w:color="000000" w:fill="B7DEE8"/>
            <w:noWrap/>
            <w:vAlign w:val="center"/>
            <w:hideMark/>
          </w:tcPr>
          <w:p w14:paraId="3754E52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4EE83F7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3ED7B5D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7466B08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314CCEE2"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5C8896D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NOPAT (Net Operating Profit After tax)</w:t>
            </w:r>
          </w:p>
        </w:tc>
        <w:tc>
          <w:tcPr>
            <w:tcW w:w="1040" w:type="dxa"/>
            <w:tcBorders>
              <w:top w:val="nil"/>
              <w:left w:val="nil"/>
              <w:bottom w:val="nil"/>
              <w:right w:val="single" w:sz="4" w:space="0" w:color="auto"/>
            </w:tcBorders>
            <w:shd w:val="clear" w:color="000000" w:fill="B7DEE8"/>
            <w:noWrap/>
            <w:vAlign w:val="center"/>
            <w:hideMark/>
          </w:tcPr>
          <w:p w14:paraId="7F0ED824"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2552.00</w:t>
            </w:r>
          </w:p>
        </w:tc>
        <w:tc>
          <w:tcPr>
            <w:tcW w:w="980" w:type="dxa"/>
            <w:tcBorders>
              <w:top w:val="nil"/>
              <w:left w:val="nil"/>
              <w:bottom w:val="nil"/>
              <w:right w:val="single" w:sz="4" w:space="0" w:color="auto"/>
            </w:tcBorders>
            <w:shd w:val="clear" w:color="000000" w:fill="B7DEE8"/>
            <w:noWrap/>
            <w:vAlign w:val="center"/>
            <w:hideMark/>
          </w:tcPr>
          <w:p w14:paraId="7786E5D2"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2896</w:t>
            </w:r>
          </w:p>
        </w:tc>
        <w:tc>
          <w:tcPr>
            <w:tcW w:w="980" w:type="dxa"/>
            <w:tcBorders>
              <w:top w:val="nil"/>
              <w:left w:val="nil"/>
              <w:bottom w:val="nil"/>
              <w:right w:val="single" w:sz="4" w:space="0" w:color="auto"/>
            </w:tcBorders>
            <w:shd w:val="clear" w:color="000000" w:fill="B7DEE8"/>
            <w:noWrap/>
            <w:vAlign w:val="center"/>
            <w:hideMark/>
          </w:tcPr>
          <w:p w14:paraId="0D2B962A"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2776</w:t>
            </w:r>
          </w:p>
        </w:tc>
        <w:tc>
          <w:tcPr>
            <w:tcW w:w="1040" w:type="dxa"/>
            <w:tcBorders>
              <w:top w:val="nil"/>
              <w:left w:val="nil"/>
              <w:bottom w:val="nil"/>
              <w:right w:val="single" w:sz="4" w:space="0" w:color="auto"/>
            </w:tcBorders>
            <w:shd w:val="clear" w:color="000000" w:fill="B7DEE8"/>
            <w:noWrap/>
            <w:vAlign w:val="center"/>
            <w:hideMark/>
          </w:tcPr>
          <w:p w14:paraId="5C2C79E3"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2863</w:t>
            </w:r>
          </w:p>
        </w:tc>
      </w:tr>
      <w:tr w:rsidR="008D497D" w:rsidRPr="002E5F86" w14:paraId="79C0C1BF"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6AA990A3"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Average NOA</w:t>
            </w:r>
          </w:p>
        </w:tc>
        <w:tc>
          <w:tcPr>
            <w:tcW w:w="1040" w:type="dxa"/>
            <w:tcBorders>
              <w:top w:val="nil"/>
              <w:left w:val="nil"/>
              <w:bottom w:val="nil"/>
              <w:right w:val="single" w:sz="4" w:space="0" w:color="auto"/>
            </w:tcBorders>
            <w:shd w:val="clear" w:color="000000" w:fill="B7DEE8"/>
            <w:noWrap/>
            <w:vAlign w:val="center"/>
            <w:hideMark/>
          </w:tcPr>
          <w:p w14:paraId="061EA39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6075D02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7711</w:t>
            </w:r>
          </w:p>
        </w:tc>
        <w:tc>
          <w:tcPr>
            <w:tcW w:w="980" w:type="dxa"/>
            <w:tcBorders>
              <w:top w:val="nil"/>
              <w:left w:val="nil"/>
              <w:bottom w:val="nil"/>
              <w:right w:val="single" w:sz="4" w:space="0" w:color="auto"/>
            </w:tcBorders>
            <w:shd w:val="clear" w:color="000000" w:fill="B7DEE8"/>
            <w:noWrap/>
            <w:vAlign w:val="center"/>
            <w:hideMark/>
          </w:tcPr>
          <w:p w14:paraId="22BF909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9023</w:t>
            </w:r>
          </w:p>
        </w:tc>
        <w:tc>
          <w:tcPr>
            <w:tcW w:w="1040" w:type="dxa"/>
            <w:tcBorders>
              <w:top w:val="nil"/>
              <w:left w:val="nil"/>
              <w:bottom w:val="nil"/>
              <w:right w:val="single" w:sz="4" w:space="0" w:color="auto"/>
            </w:tcBorders>
            <w:shd w:val="clear" w:color="000000" w:fill="B7DEE8"/>
            <w:noWrap/>
            <w:vAlign w:val="center"/>
            <w:hideMark/>
          </w:tcPr>
          <w:p w14:paraId="2A1B70B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10566</w:t>
            </w:r>
          </w:p>
        </w:tc>
      </w:tr>
      <w:tr w:rsidR="008D497D" w:rsidRPr="002E5F86" w14:paraId="374DC12D"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72D5BA57"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RNOA</w:t>
            </w:r>
          </w:p>
        </w:tc>
        <w:tc>
          <w:tcPr>
            <w:tcW w:w="1040" w:type="dxa"/>
            <w:tcBorders>
              <w:top w:val="nil"/>
              <w:left w:val="nil"/>
              <w:bottom w:val="single" w:sz="4" w:space="0" w:color="auto"/>
              <w:right w:val="single" w:sz="4" w:space="0" w:color="auto"/>
            </w:tcBorders>
            <w:shd w:val="clear" w:color="000000" w:fill="7030A0"/>
            <w:noWrap/>
            <w:vAlign w:val="center"/>
            <w:hideMark/>
          </w:tcPr>
          <w:p w14:paraId="0C5A827C"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074C91A9"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37.56%</w:t>
            </w:r>
          </w:p>
        </w:tc>
        <w:tc>
          <w:tcPr>
            <w:tcW w:w="980" w:type="dxa"/>
            <w:tcBorders>
              <w:top w:val="nil"/>
              <w:left w:val="nil"/>
              <w:bottom w:val="single" w:sz="4" w:space="0" w:color="auto"/>
              <w:right w:val="single" w:sz="4" w:space="0" w:color="auto"/>
            </w:tcBorders>
            <w:shd w:val="clear" w:color="000000" w:fill="7030A0"/>
            <w:noWrap/>
            <w:vAlign w:val="center"/>
            <w:hideMark/>
          </w:tcPr>
          <w:p w14:paraId="1F7CC63B"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30.77%</w:t>
            </w:r>
          </w:p>
        </w:tc>
        <w:tc>
          <w:tcPr>
            <w:tcW w:w="1040" w:type="dxa"/>
            <w:tcBorders>
              <w:top w:val="nil"/>
              <w:left w:val="nil"/>
              <w:bottom w:val="single" w:sz="4" w:space="0" w:color="auto"/>
              <w:right w:val="single" w:sz="4" w:space="0" w:color="auto"/>
            </w:tcBorders>
            <w:shd w:val="clear" w:color="000000" w:fill="7030A0"/>
            <w:noWrap/>
            <w:vAlign w:val="center"/>
            <w:hideMark/>
          </w:tcPr>
          <w:p w14:paraId="10CD8400"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27.10%</w:t>
            </w:r>
          </w:p>
        </w:tc>
      </w:tr>
      <w:tr w:rsidR="008D497D" w:rsidRPr="002E5F86" w14:paraId="4DAAF824"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3CF8B8A2"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Profit Margin</w:t>
            </w:r>
          </w:p>
        </w:tc>
        <w:tc>
          <w:tcPr>
            <w:tcW w:w="1040" w:type="dxa"/>
            <w:tcBorders>
              <w:top w:val="nil"/>
              <w:left w:val="nil"/>
              <w:bottom w:val="nil"/>
              <w:right w:val="single" w:sz="4" w:space="0" w:color="auto"/>
            </w:tcBorders>
            <w:shd w:val="clear" w:color="000000" w:fill="B7DEE8"/>
            <w:noWrap/>
            <w:vAlign w:val="center"/>
            <w:hideMark/>
          </w:tcPr>
          <w:p w14:paraId="2CCFFE2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4256468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02DCAED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672D3DD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575EEC29"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32FE580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NPAT (Net profit after tax)</w:t>
            </w:r>
          </w:p>
        </w:tc>
        <w:tc>
          <w:tcPr>
            <w:tcW w:w="1040" w:type="dxa"/>
            <w:tcBorders>
              <w:top w:val="nil"/>
              <w:left w:val="nil"/>
              <w:bottom w:val="nil"/>
              <w:right w:val="single" w:sz="4" w:space="0" w:color="auto"/>
            </w:tcBorders>
            <w:shd w:val="clear" w:color="000000" w:fill="B7DEE8"/>
            <w:noWrap/>
            <w:vAlign w:val="center"/>
            <w:hideMark/>
          </w:tcPr>
          <w:p w14:paraId="6284651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2552</w:t>
            </w:r>
          </w:p>
        </w:tc>
        <w:tc>
          <w:tcPr>
            <w:tcW w:w="980" w:type="dxa"/>
            <w:tcBorders>
              <w:top w:val="nil"/>
              <w:left w:val="nil"/>
              <w:bottom w:val="nil"/>
              <w:right w:val="single" w:sz="4" w:space="0" w:color="auto"/>
            </w:tcBorders>
            <w:shd w:val="clear" w:color="000000" w:fill="B7DEE8"/>
            <w:noWrap/>
            <w:vAlign w:val="center"/>
            <w:hideMark/>
          </w:tcPr>
          <w:p w14:paraId="0C277EC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2896</w:t>
            </w:r>
          </w:p>
        </w:tc>
        <w:tc>
          <w:tcPr>
            <w:tcW w:w="980" w:type="dxa"/>
            <w:tcBorders>
              <w:top w:val="nil"/>
              <w:left w:val="nil"/>
              <w:bottom w:val="nil"/>
              <w:right w:val="single" w:sz="4" w:space="0" w:color="auto"/>
            </w:tcBorders>
            <w:shd w:val="clear" w:color="000000" w:fill="B7DEE8"/>
            <w:noWrap/>
            <w:vAlign w:val="center"/>
            <w:hideMark/>
          </w:tcPr>
          <w:p w14:paraId="6236393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2776</w:t>
            </w:r>
          </w:p>
        </w:tc>
        <w:tc>
          <w:tcPr>
            <w:tcW w:w="1040" w:type="dxa"/>
            <w:tcBorders>
              <w:top w:val="nil"/>
              <w:left w:val="nil"/>
              <w:bottom w:val="nil"/>
              <w:right w:val="single" w:sz="4" w:space="0" w:color="auto"/>
            </w:tcBorders>
            <w:shd w:val="clear" w:color="000000" w:fill="B7DEE8"/>
            <w:noWrap/>
            <w:vAlign w:val="center"/>
            <w:hideMark/>
          </w:tcPr>
          <w:p w14:paraId="553E701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2863</w:t>
            </w:r>
          </w:p>
        </w:tc>
      </w:tr>
      <w:tr w:rsidR="008D497D" w:rsidRPr="002E5F86" w14:paraId="5EEFF85A"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6F96B78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Revenue (Sales)</w:t>
            </w:r>
          </w:p>
        </w:tc>
        <w:tc>
          <w:tcPr>
            <w:tcW w:w="1040" w:type="dxa"/>
            <w:tcBorders>
              <w:top w:val="nil"/>
              <w:left w:val="nil"/>
              <w:bottom w:val="nil"/>
              <w:right w:val="single" w:sz="4" w:space="0" w:color="auto"/>
            </w:tcBorders>
            <w:shd w:val="clear" w:color="000000" w:fill="B7DEE8"/>
            <w:noWrap/>
            <w:vAlign w:val="center"/>
            <w:hideMark/>
          </w:tcPr>
          <w:p w14:paraId="040AF58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54916</w:t>
            </w:r>
          </w:p>
        </w:tc>
        <w:tc>
          <w:tcPr>
            <w:tcW w:w="980" w:type="dxa"/>
            <w:tcBorders>
              <w:top w:val="nil"/>
              <w:left w:val="nil"/>
              <w:bottom w:val="nil"/>
              <w:right w:val="single" w:sz="4" w:space="0" w:color="auto"/>
            </w:tcBorders>
            <w:shd w:val="clear" w:color="000000" w:fill="B7DEE8"/>
            <w:noWrap/>
            <w:vAlign w:val="center"/>
            <w:hideMark/>
          </w:tcPr>
          <w:p w14:paraId="337A2D43"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58674</w:t>
            </w:r>
          </w:p>
        </w:tc>
        <w:tc>
          <w:tcPr>
            <w:tcW w:w="980" w:type="dxa"/>
            <w:tcBorders>
              <w:top w:val="nil"/>
              <w:left w:val="nil"/>
              <w:bottom w:val="nil"/>
              <w:right w:val="single" w:sz="4" w:space="0" w:color="auto"/>
            </w:tcBorders>
            <w:shd w:val="clear" w:color="000000" w:fill="B7DEE8"/>
            <w:noWrap/>
            <w:vAlign w:val="center"/>
            <w:hideMark/>
          </w:tcPr>
          <w:p w14:paraId="7127286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60952</w:t>
            </w:r>
          </w:p>
        </w:tc>
        <w:tc>
          <w:tcPr>
            <w:tcW w:w="1040" w:type="dxa"/>
            <w:tcBorders>
              <w:top w:val="nil"/>
              <w:left w:val="nil"/>
              <w:bottom w:val="nil"/>
              <w:right w:val="single" w:sz="4" w:space="0" w:color="auto"/>
            </w:tcBorders>
            <w:shd w:val="clear" w:color="000000" w:fill="B7DEE8"/>
            <w:noWrap/>
            <w:vAlign w:val="center"/>
            <w:hideMark/>
          </w:tcPr>
          <w:p w14:paraId="0646A33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60868</w:t>
            </w:r>
          </w:p>
        </w:tc>
      </w:tr>
      <w:tr w:rsidR="008D497D" w:rsidRPr="002E5F86" w14:paraId="28E52883"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37177534"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lastRenderedPageBreak/>
              <w:t>Profit Margin</w:t>
            </w:r>
          </w:p>
        </w:tc>
        <w:tc>
          <w:tcPr>
            <w:tcW w:w="1040" w:type="dxa"/>
            <w:tcBorders>
              <w:top w:val="nil"/>
              <w:left w:val="nil"/>
              <w:bottom w:val="single" w:sz="4" w:space="0" w:color="auto"/>
              <w:right w:val="single" w:sz="4" w:space="0" w:color="auto"/>
            </w:tcBorders>
            <w:shd w:val="clear" w:color="000000" w:fill="7030A0"/>
            <w:noWrap/>
            <w:vAlign w:val="center"/>
            <w:hideMark/>
          </w:tcPr>
          <w:p w14:paraId="19F823EF"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4.65%</w:t>
            </w:r>
          </w:p>
        </w:tc>
        <w:tc>
          <w:tcPr>
            <w:tcW w:w="980" w:type="dxa"/>
            <w:tcBorders>
              <w:top w:val="nil"/>
              <w:left w:val="nil"/>
              <w:bottom w:val="single" w:sz="4" w:space="0" w:color="auto"/>
              <w:right w:val="single" w:sz="4" w:space="0" w:color="auto"/>
            </w:tcBorders>
            <w:shd w:val="clear" w:color="000000" w:fill="7030A0"/>
            <w:noWrap/>
            <w:vAlign w:val="center"/>
            <w:hideMark/>
          </w:tcPr>
          <w:p w14:paraId="5F874BB5"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4.94%</w:t>
            </w:r>
          </w:p>
        </w:tc>
        <w:tc>
          <w:tcPr>
            <w:tcW w:w="980" w:type="dxa"/>
            <w:tcBorders>
              <w:top w:val="nil"/>
              <w:left w:val="nil"/>
              <w:bottom w:val="single" w:sz="4" w:space="0" w:color="auto"/>
              <w:right w:val="single" w:sz="4" w:space="0" w:color="auto"/>
            </w:tcBorders>
            <w:shd w:val="clear" w:color="000000" w:fill="7030A0"/>
            <w:noWrap/>
            <w:vAlign w:val="center"/>
            <w:hideMark/>
          </w:tcPr>
          <w:p w14:paraId="64704E52"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4.55%</w:t>
            </w:r>
          </w:p>
        </w:tc>
        <w:tc>
          <w:tcPr>
            <w:tcW w:w="1040" w:type="dxa"/>
            <w:tcBorders>
              <w:top w:val="nil"/>
              <w:left w:val="nil"/>
              <w:bottom w:val="single" w:sz="4" w:space="0" w:color="auto"/>
              <w:right w:val="single" w:sz="4" w:space="0" w:color="auto"/>
            </w:tcBorders>
            <w:shd w:val="clear" w:color="000000" w:fill="7030A0"/>
            <w:noWrap/>
            <w:vAlign w:val="center"/>
            <w:hideMark/>
          </w:tcPr>
          <w:p w14:paraId="43798B63"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4.70%</w:t>
            </w:r>
          </w:p>
        </w:tc>
      </w:tr>
      <w:tr w:rsidR="008D497D" w:rsidRPr="002E5F86" w14:paraId="79BF3D97"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7A4FF15E"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Financial Leverage</w:t>
            </w:r>
          </w:p>
        </w:tc>
        <w:tc>
          <w:tcPr>
            <w:tcW w:w="1040" w:type="dxa"/>
            <w:tcBorders>
              <w:top w:val="nil"/>
              <w:left w:val="nil"/>
              <w:bottom w:val="nil"/>
              <w:right w:val="single" w:sz="4" w:space="0" w:color="auto"/>
            </w:tcBorders>
            <w:shd w:val="clear" w:color="000000" w:fill="B7DEE8"/>
            <w:noWrap/>
            <w:vAlign w:val="center"/>
            <w:hideMark/>
          </w:tcPr>
          <w:p w14:paraId="67EBA3CC"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5F7C4AA"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1D409BC1"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52A40777"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r>
      <w:tr w:rsidR="008D497D" w:rsidRPr="002E5F86" w14:paraId="117B5281"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38AAB02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Average NFO</w:t>
            </w:r>
          </w:p>
        </w:tc>
        <w:tc>
          <w:tcPr>
            <w:tcW w:w="1040" w:type="dxa"/>
            <w:tcBorders>
              <w:top w:val="nil"/>
              <w:left w:val="nil"/>
              <w:bottom w:val="nil"/>
              <w:right w:val="single" w:sz="4" w:space="0" w:color="auto"/>
            </w:tcBorders>
            <w:shd w:val="clear" w:color="000000" w:fill="B7DEE8"/>
            <w:noWrap/>
            <w:vAlign w:val="center"/>
            <w:hideMark/>
          </w:tcPr>
          <w:p w14:paraId="0733DFF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6C23075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10094.5</w:t>
            </w:r>
          </w:p>
        </w:tc>
        <w:tc>
          <w:tcPr>
            <w:tcW w:w="980" w:type="dxa"/>
            <w:tcBorders>
              <w:top w:val="nil"/>
              <w:left w:val="nil"/>
              <w:bottom w:val="nil"/>
              <w:right w:val="single" w:sz="4" w:space="0" w:color="auto"/>
            </w:tcBorders>
            <w:shd w:val="clear" w:color="000000" w:fill="B7DEE8"/>
            <w:noWrap/>
            <w:vAlign w:val="center"/>
            <w:hideMark/>
          </w:tcPr>
          <w:p w14:paraId="16DDE9A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9637</w:t>
            </w:r>
          </w:p>
        </w:tc>
        <w:tc>
          <w:tcPr>
            <w:tcW w:w="1040" w:type="dxa"/>
            <w:tcBorders>
              <w:top w:val="nil"/>
              <w:left w:val="nil"/>
              <w:bottom w:val="nil"/>
              <w:right w:val="single" w:sz="4" w:space="0" w:color="auto"/>
            </w:tcBorders>
            <w:shd w:val="clear" w:color="000000" w:fill="B7DEE8"/>
            <w:noWrap/>
            <w:vAlign w:val="center"/>
            <w:hideMark/>
          </w:tcPr>
          <w:p w14:paraId="5A58888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9096</w:t>
            </w:r>
          </w:p>
        </w:tc>
      </w:tr>
      <w:tr w:rsidR="008D497D" w:rsidRPr="002E5F86" w14:paraId="17C2D2AD"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318EB1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Average CSE</w:t>
            </w:r>
          </w:p>
        </w:tc>
        <w:tc>
          <w:tcPr>
            <w:tcW w:w="1040" w:type="dxa"/>
            <w:tcBorders>
              <w:top w:val="nil"/>
              <w:left w:val="nil"/>
              <w:bottom w:val="nil"/>
              <w:right w:val="single" w:sz="4" w:space="0" w:color="auto"/>
            </w:tcBorders>
            <w:shd w:val="clear" w:color="000000" w:fill="B7DEE8"/>
            <w:noWrap/>
            <w:vAlign w:val="center"/>
            <w:hideMark/>
          </w:tcPr>
          <w:p w14:paraId="2DFEBA9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20496E1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8614</w:t>
            </w:r>
          </w:p>
        </w:tc>
        <w:tc>
          <w:tcPr>
            <w:tcW w:w="980" w:type="dxa"/>
            <w:tcBorders>
              <w:top w:val="nil"/>
              <w:left w:val="nil"/>
              <w:bottom w:val="nil"/>
              <w:right w:val="single" w:sz="4" w:space="0" w:color="auto"/>
            </w:tcBorders>
            <w:shd w:val="clear" w:color="000000" w:fill="B7DEE8"/>
            <w:noWrap/>
            <w:vAlign w:val="center"/>
            <w:hideMark/>
          </w:tcPr>
          <w:p w14:paraId="3C11B23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9645</w:t>
            </w:r>
          </w:p>
        </w:tc>
        <w:tc>
          <w:tcPr>
            <w:tcW w:w="1040" w:type="dxa"/>
            <w:tcBorders>
              <w:top w:val="nil"/>
              <w:left w:val="nil"/>
              <w:bottom w:val="nil"/>
              <w:right w:val="single" w:sz="4" w:space="0" w:color="auto"/>
            </w:tcBorders>
            <w:shd w:val="clear" w:color="000000" w:fill="B7DEE8"/>
            <w:noWrap/>
            <w:vAlign w:val="center"/>
            <w:hideMark/>
          </w:tcPr>
          <w:p w14:paraId="0DEEA87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10546.5</w:t>
            </w:r>
          </w:p>
        </w:tc>
      </w:tr>
      <w:tr w:rsidR="008D497D" w:rsidRPr="002E5F86" w14:paraId="1CA391A0"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B7DEE8"/>
            <w:noWrap/>
            <w:vAlign w:val="bottom"/>
            <w:hideMark/>
          </w:tcPr>
          <w:p w14:paraId="2818F5B7"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FLEV</w:t>
            </w:r>
          </w:p>
        </w:tc>
        <w:tc>
          <w:tcPr>
            <w:tcW w:w="1040" w:type="dxa"/>
            <w:tcBorders>
              <w:top w:val="nil"/>
              <w:left w:val="nil"/>
              <w:bottom w:val="single" w:sz="4" w:space="0" w:color="auto"/>
              <w:right w:val="single" w:sz="4" w:space="0" w:color="auto"/>
            </w:tcBorders>
            <w:shd w:val="clear" w:color="000000" w:fill="B7DEE8"/>
            <w:noWrap/>
            <w:vAlign w:val="center"/>
            <w:hideMark/>
          </w:tcPr>
          <w:p w14:paraId="6097302A"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B7DEE8"/>
            <w:noWrap/>
            <w:vAlign w:val="center"/>
            <w:hideMark/>
          </w:tcPr>
          <w:p w14:paraId="231FAE6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1.17</w:t>
            </w:r>
          </w:p>
        </w:tc>
        <w:tc>
          <w:tcPr>
            <w:tcW w:w="980" w:type="dxa"/>
            <w:tcBorders>
              <w:top w:val="nil"/>
              <w:left w:val="nil"/>
              <w:bottom w:val="single" w:sz="4" w:space="0" w:color="auto"/>
              <w:right w:val="single" w:sz="4" w:space="0" w:color="auto"/>
            </w:tcBorders>
            <w:shd w:val="clear" w:color="000000" w:fill="B7DEE8"/>
            <w:noWrap/>
            <w:vAlign w:val="center"/>
            <w:hideMark/>
          </w:tcPr>
          <w:p w14:paraId="1173460B"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1.00</w:t>
            </w:r>
          </w:p>
        </w:tc>
        <w:tc>
          <w:tcPr>
            <w:tcW w:w="1040" w:type="dxa"/>
            <w:tcBorders>
              <w:top w:val="nil"/>
              <w:left w:val="nil"/>
              <w:bottom w:val="single" w:sz="4" w:space="0" w:color="auto"/>
              <w:right w:val="single" w:sz="4" w:space="0" w:color="auto"/>
            </w:tcBorders>
            <w:shd w:val="clear" w:color="000000" w:fill="B7DEE8"/>
            <w:noWrap/>
            <w:vAlign w:val="center"/>
            <w:hideMark/>
          </w:tcPr>
          <w:p w14:paraId="0E52E18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0.86</w:t>
            </w:r>
          </w:p>
        </w:tc>
      </w:tr>
      <w:tr w:rsidR="008D497D" w:rsidRPr="002E5F86" w14:paraId="3917F293"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A1671D4"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xml:space="preserve">Current Ratio </w:t>
            </w:r>
          </w:p>
        </w:tc>
        <w:tc>
          <w:tcPr>
            <w:tcW w:w="1040" w:type="dxa"/>
            <w:tcBorders>
              <w:top w:val="nil"/>
              <w:left w:val="nil"/>
              <w:bottom w:val="nil"/>
              <w:right w:val="single" w:sz="4" w:space="0" w:color="auto"/>
            </w:tcBorders>
            <w:shd w:val="clear" w:color="000000" w:fill="B7DEE8"/>
            <w:noWrap/>
            <w:vAlign w:val="center"/>
            <w:hideMark/>
          </w:tcPr>
          <w:p w14:paraId="5A19AF8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266F9BE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22BC6F7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320D08D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4727B1F6"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66C1B12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Current Assets</w:t>
            </w:r>
          </w:p>
        </w:tc>
        <w:tc>
          <w:tcPr>
            <w:tcW w:w="1040" w:type="dxa"/>
            <w:tcBorders>
              <w:top w:val="nil"/>
              <w:left w:val="nil"/>
              <w:bottom w:val="nil"/>
              <w:right w:val="single" w:sz="4" w:space="0" w:color="auto"/>
            </w:tcBorders>
            <w:shd w:val="clear" w:color="000000" w:fill="B7DEE8"/>
            <w:noWrap/>
            <w:vAlign w:val="bottom"/>
            <w:hideMark/>
          </w:tcPr>
          <w:p w14:paraId="2FB6883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5535</w:t>
            </w:r>
          </w:p>
        </w:tc>
        <w:tc>
          <w:tcPr>
            <w:tcW w:w="980" w:type="dxa"/>
            <w:tcBorders>
              <w:top w:val="nil"/>
              <w:left w:val="nil"/>
              <w:bottom w:val="nil"/>
              <w:right w:val="single" w:sz="4" w:space="0" w:color="auto"/>
            </w:tcBorders>
            <w:shd w:val="clear" w:color="000000" w:fill="B7DEE8"/>
            <w:noWrap/>
            <w:vAlign w:val="bottom"/>
            <w:hideMark/>
          </w:tcPr>
          <w:p w14:paraId="0893F49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5956</w:t>
            </w:r>
          </w:p>
        </w:tc>
        <w:tc>
          <w:tcPr>
            <w:tcW w:w="980" w:type="dxa"/>
            <w:tcBorders>
              <w:top w:val="nil"/>
              <w:left w:val="nil"/>
              <w:bottom w:val="nil"/>
              <w:right w:val="single" w:sz="4" w:space="0" w:color="auto"/>
            </w:tcBorders>
            <w:shd w:val="clear" w:color="000000" w:fill="B7DEE8"/>
            <w:noWrap/>
            <w:vAlign w:val="bottom"/>
            <w:hideMark/>
          </w:tcPr>
          <w:p w14:paraId="2F1B9D4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6866</w:t>
            </w:r>
          </w:p>
        </w:tc>
        <w:tc>
          <w:tcPr>
            <w:tcW w:w="1040" w:type="dxa"/>
            <w:tcBorders>
              <w:top w:val="nil"/>
              <w:left w:val="nil"/>
              <w:bottom w:val="nil"/>
              <w:right w:val="single" w:sz="4" w:space="0" w:color="auto"/>
            </w:tcBorders>
            <w:shd w:val="clear" w:color="000000" w:fill="B7DEE8"/>
            <w:noWrap/>
            <w:vAlign w:val="bottom"/>
            <w:hideMark/>
          </w:tcPr>
          <w:p w14:paraId="516C69E7"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7359</w:t>
            </w:r>
          </w:p>
        </w:tc>
      </w:tr>
      <w:tr w:rsidR="008D497D" w:rsidRPr="002E5F86" w14:paraId="66C962E6"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58E30B8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xml:space="preserve">Current </w:t>
            </w:r>
            <w:proofErr w:type="spellStart"/>
            <w:r w:rsidRPr="002E5F86">
              <w:rPr>
                <w:rFonts w:ascii="Times New Roman" w:eastAsia="Times New Roman" w:hAnsi="Times New Roman" w:cs="Times New Roman"/>
                <w:color w:val="000000"/>
                <w:sz w:val="24"/>
                <w:szCs w:val="24"/>
                <w:lang w:val="en-US" w:eastAsia="en-US" w:bidi="hi-IN"/>
              </w:rPr>
              <w:t>liabiilties</w:t>
            </w:r>
            <w:proofErr w:type="spellEnd"/>
          </w:p>
        </w:tc>
        <w:tc>
          <w:tcPr>
            <w:tcW w:w="1040" w:type="dxa"/>
            <w:tcBorders>
              <w:top w:val="nil"/>
              <w:left w:val="nil"/>
              <w:bottom w:val="nil"/>
              <w:right w:val="single" w:sz="4" w:space="0" w:color="auto"/>
            </w:tcBorders>
            <w:shd w:val="clear" w:color="000000" w:fill="B7DEE8"/>
            <w:noWrap/>
            <w:vAlign w:val="bottom"/>
            <w:hideMark/>
          </w:tcPr>
          <w:p w14:paraId="193EEA4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9922</w:t>
            </w:r>
          </w:p>
        </w:tc>
        <w:tc>
          <w:tcPr>
            <w:tcW w:w="980" w:type="dxa"/>
            <w:tcBorders>
              <w:top w:val="nil"/>
              <w:left w:val="nil"/>
              <w:bottom w:val="nil"/>
              <w:right w:val="single" w:sz="4" w:space="0" w:color="auto"/>
            </w:tcBorders>
            <w:shd w:val="clear" w:color="000000" w:fill="B7DEE8"/>
            <w:noWrap/>
            <w:vAlign w:val="bottom"/>
            <w:hideMark/>
          </w:tcPr>
          <w:p w14:paraId="1DAD84C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9361</w:t>
            </w:r>
          </w:p>
        </w:tc>
        <w:tc>
          <w:tcPr>
            <w:tcW w:w="980" w:type="dxa"/>
            <w:tcBorders>
              <w:top w:val="nil"/>
              <w:left w:val="nil"/>
              <w:bottom w:val="nil"/>
              <w:right w:val="single" w:sz="4" w:space="0" w:color="auto"/>
            </w:tcBorders>
            <w:shd w:val="clear" w:color="000000" w:fill="B7DEE8"/>
            <w:noWrap/>
            <w:vAlign w:val="bottom"/>
            <w:hideMark/>
          </w:tcPr>
          <w:p w14:paraId="24CB6C8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9812</w:t>
            </w:r>
          </w:p>
        </w:tc>
        <w:tc>
          <w:tcPr>
            <w:tcW w:w="1040" w:type="dxa"/>
            <w:tcBorders>
              <w:top w:val="nil"/>
              <w:left w:val="nil"/>
              <w:bottom w:val="nil"/>
              <w:right w:val="single" w:sz="4" w:space="0" w:color="auto"/>
            </w:tcBorders>
            <w:shd w:val="clear" w:color="000000" w:fill="B7DEE8"/>
            <w:noWrap/>
            <w:vAlign w:val="bottom"/>
            <w:hideMark/>
          </w:tcPr>
          <w:p w14:paraId="2B0E832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10391</w:t>
            </w:r>
          </w:p>
        </w:tc>
      </w:tr>
      <w:tr w:rsidR="008D497D" w:rsidRPr="002E5F86" w14:paraId="1902AF1B"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B7DEE8"/>
            <w:noWrap/>
            <w:vAlign w:val="bottom"/>
            <w:hideMark/>
          </w:tcPr>
          <w:p w14:paraId="56E4108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Current assets/Current liabilities</w:t>
            </w:r>
          </w:p>
        </w:tc>
        <w:tc>
          <w:tcPr>
            <w:tcW w:w="1040" w:type="dxa"/>
            <w:tcBorders>
              <w:top w:val="nil"/>
              <w:left w:val="nil"/>
              <w:bottom w:val="single" w:sz="4" w:space="0" w:color="auto"/>
              <w:right w:val="single" w:sz="4" w:space="0" w:color="auto"/>
            </w:tcBorders>
            <w:shd w:val="clear" w:color="000000" w:fill="B7DEE8"/>
            <w:noWrap/>
            <w:vAlign w:val="center"/>
            <w:hideMark/>
          </w:tcPr>
          <w:p w14:paraId="065C133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0.56</w:t>
            </w:r>
          </w:p>
        </w:tc>
        <w:tc>
          <w:tcPr>
            <w:tcW w:w="980" w:type="dxa"/>
            <w:tcBorders>
              <w:top w:val="nil"/>
              <w:left w:val="nil"/>
              <w:bottom w:val="single" w:sz="4" w:space="0" w:color="auto"/>
              <w:right w:val="single" w:sz="4" w:space="0" w:color="auto"/>
            </w:tcBorders>
            <w:shd w:val="clear" w:color="000000" w:fill="B7DEE8"/>
            <w:noWrap/>
            <w:vAlign w:val="center"/>
            <w:hideMark/>
          </w:tcPr>
          <w:p w14:paraId="155A19F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0.64</w:t>
            </w:r>
          </w:p>
        </w:tc>
        <w:tc>
          <w:tcPr>
            <w:tcW w:w="980" w:type="dxa"/>
            <w:tcBorders>
              <w:top w:val="nil"/>
              <w:left w:val="nil"/>
              <w:bottom w:val="single" w:sz="4" w:space="0" w:color="auto"/>
              <w:right w:val="single" w:sz="4" w:space="0" w:color="auto"/>
            </w:tcBorders>
            <w:shd w:val="clear" w:color="000000" w:fill="B7DEE8"/>
            <w:noWrap/>
            <w:vAlign w:val="center"/>
            <w:hideMark/>
          </w:tcPr>
          <w:p w14:paraId="3CA2212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0.70</w:t>
            </w:r>
          </w:p>
        </w:tc>
        <w:tc>
          <w:tcPr>
            <w:tcW w:w="1040" w:type="dxa"/>
            <w:tcBorders>
              <w:top w:val="nil"/>
              <w:left w:val="nil"/>
              <w:bottom w:val="single" w:sz="4" w:space="0" w:color="auto"/>
              <w:right w:val="single" w:sz="4" w:space="0" w:color="auto"/>
            </w:tcBorders>
            <w:shd w:val="clear" w:color="000000" w:fill="B7DEE8"/>
            <w:noWrap/>
            <w:vAlign w:val="center"/>
            <w:hideMark/>
          </w:tcPr>
          <w:p w14:paraId="32DE662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0.71</w:t>
            </w:r>
          </w:p>
        </w:tc>
      </w:tr>
      <w:tr w:rsidR="008D497D" w:rsidRPr="002E5F86" w14:paraId="11B19551"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170461B9"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Net Borrowing Cost (NBC)</w:t>
            </w:r>
          </w:p>
        </w:tc>
        <w:tc>
          <w:tcPr>
            <w:tcW w:w="1040" w:type="dxa"/>
            <w:tcBorders>
              <w:top w:val="nil"/>
              <w:left w:val="nil"/>
              <w:bottom w:val="nil"/>
              <w:right w:val="single" w:sz="4" w:space="0" w:color="auto"/>
            </w:tcBorders>
            <w:shd w:val="clear" w:color="000000" w:fill="B7DEE8"/>
            <w:noWrap/>
            <w:vAlign w:val="center"/>
            <w:hideMark/>
          </w:tcPr>
          <w:p w14:paraId="1E25B18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271942A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0F1F68C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4304294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671E8242"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64BA0131"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proofErr w:type="spellStart"/>
            <w:r w:rsidRPr="002E5F86">
              <w:rPr>
                <w:rFonts w:ascii="Times New Roman" w:eastAsia="Times New Roman" w:hAnsi="Times New Roman" w:cs="Times New Roman"/>
                <w:sz w:val="24"/>
                <w:szCs w:val="24"/>
                <w:lang w:val="en-US" w:eastAsia="en-US" w:bidi="hi-IN"/>
              </w:rPr>
              <w:t>NFEat</w:t>
            </w:r>
            <w:proofErr w:type="spellEnd"/>
          </w:p>
        </w:tc>
        <w:tc>
          <w:tcPr>
            <w:tcW w:w="1040" w:type="dxa"/>
            <w:tcBorders>
              <w:top w:val="nil"/>
              <w:left w:val="nil"/>
              <w:bottom w:val="nil"/>
              <w:right w:val="single" w:sz="4" w:space="0" w:color="auto"/>
            </w:tcBorders>
            <w:shd w:val="clear" w:color="000000" w:fill="B7DEE8"/>
            <w:noWrap/>
            <w:vAlign w:val="center"/>
            <w:hideMark/>
          </w:tcPr>
          <w:p w14:paraId="4ECC9A8E"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222</w:t>
            </w:r>
          </w:p>
        </w:tc>
        <w:tc>
          <w:tcPr>
            <w:tcW w:w="980" w:type="dxa"/>
            <w:tcBorders>
              <w:top w:val="nil"/>
              <w:left w:val="nil"/>
              <w:bottom w:val="nil"/>
              <w:right w:val="single" w:sz="4" w:space="0" w:color="auto"/>
            </w:tcBorders>
            <w:shd w:val="clear" w:color="000000" w:fill="B7DEE8"/>
            <w:noWrap/>
            <w:vAlign w:val="center"/>
            <w:hideMark/>
          </w:tcPr>
          <w:p w14:paraId="1A5206B1"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284</w:t>
            </w:r>
          </w:p>
        </w:tc>
        <w:tc>
          <w:tcPr>
            <w:tcW w:w="980" w:type="dxa"/>
            <w:tcBorders>
              <w:top w:val="nil"/>
              <w:left w:val="nil"/>
              <w:bottom w:val="nil"/>
              <w:right w:val="single" w:sz="4" w:space="0" w:color="auto"/>
            </w:tcBorders>
            <w:shd w:val="clear" w:color="000000" w:fill="B7DEE8"/>
            <w:noWrap/>
            <w:vAlign w:val="center"/>
            <w:hideMark/>
          </w:tcPr>
          <w:p w14:paraId="57D76441"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190</w:t>
            </w:r>
          </w:p>
        </w:tc>
        <w:tc>
          <w:tcPr>
            <w:tcW w:w="1040" w:type="dxa"/>
            <w:tcBorders>
              <w:top w:val="nil"/>
              <w:left w:val="nil"/>
              <w:bottom w:val="nil"/>
              <w:right w:val="single" w:sz="4" w:space="0" w:color="auto"/>
            </w:tcBorders>
            <w:shd w:val="clear" w:color="000000" w:fill="B7DEE8"/>
            <w:noWrap/>
            <w:vAlign w:val="center"/>
            <w:hideMark/>
          </w:tcPr>
          <w:p w14:paraId="7D2DF50A"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197</w:t>
            </w:r>
          </w:p>
        </w:tc>
      </w:tr>
      <w:tr w:rsidR="008D497D" w:rsidRPr="002E5F86" w14:paraId="31005CE5"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1878011C"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Average NFO</w:t>
            </w:r>
          </w:p>
        </w:tc>
        <w:tc>
          <w:tcPr>
            <w:tcW w:w="1040" w:type="dxa"/>
            <w:tcBorders>
              <w:top w:val="nil"/>
              <w:left w:val="nil"/>
              <w:bottom w:val="nil"/>
              <w:right w:val="single" w:sz="4" w:space="0" w:color="auto"/>
            </w:tcBorders>
            <w:shd w:val="clear" w:color="000000" w:fill="B7DEE8"/>
            <w:noWrap/>
            <w:vAlign w:val="center"/>
            <w:hideMark/>
          </w:tcPr>
          <w:p w14:paraId="4ECF4E90"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0205B76B"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10095</w:t>
            </w:r>
          </w:p>
        </w:tc>
        <w:tc>
          <w:tcPr>
            <w:tcW w:w="980" w:type="dxa"/>
            <w:tcBorders>
              <w:top w:val="nil"/>
              <w:left w:val="nil"/>
              <w:bottom w:val="nil"/>
              <w:right w:val="single" w:sz="4" w:space="0" w:color="auto"/>
            </w:tcBorders>
            <w:shd w:val="clear" w:color="000000" w:fill="B7DEE8"/>
            <w:noWrap/>
            <w:vAlign w:val="center"/>
            <w:hideMark/>
          </w:tcPr>
          <w:p w14:paraId="305A33D4"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9637</w:t>
            </w:r>
          </w:p>
        </w:tc>
        <w:tc>
          <w:tcPr>
            <w:tcW w:w="1040" w:type="dxa"/>
            <w:tcBorders>
              <w:top w:val="nil"/>
              <w:left w:val="nil"/>
              <w:bottom w:val="nil"/>
              <w:right w:val="single" w:sz="4" w:space="0" w:color="auto"/>
            </w:tcBorders>
            <w:shd w:val="clear" w:color="000000" w:fill="B7DEE8"/>
            <w:noWrap/>
            <w:vAlign w:val="center"/>
            <w:hideMark/>
          </w:tcPr>
          <w:p w14:paraId="0F830916" w14:textId="77777777" w:rsidR="008D497D" w:rsidRPr="002E5F86" w:rsidRDefault="008D497D" w:rsidP="00652892">
            <w:pPr>
              <w:spacing w:after="0" w:line="600" w:lineRule="auto"/>
              <w:jc w:val="right"/>
              <w:rPr>
                <w:rFonts w:ascii="Times New Roman" w:eastAsia="Times New Roman" w:hAnsi="Times New Roman" w:cs="Times New Roman"/>
                <w:sz w:val="24"/>
                <w:szCs w:val="24"/>
                <w:lang w:val="en-US" w:eastAsia="en-US" w:bidi="hi-IN"/>
              </w:rPr>
            </w:pPr>
            <w:r w:rsidRPr="002E5F86">
              <w:rPr>
                <w:rFonts w:ascii="Times New Roman" w:eastAsia="Times New Roman" w:hAnsi="Times New Roman" w:cs="Times New Roman"/>
                <w:sz w:val="24"/>
                <w:szCs w:val="24"/>
                <w:lang w:val="en-US" w:eastAsia="en-US" w:bidi="hi-IN"/>
              </w:rPr>
              <w:t>9096</w:t>
            </w:r>
          </w:p>
        </w:tc>
      </w:tr>
      <w:tr w:rsidR="008D497D" w:rsidRPr="002E5F86" w14:paraId="1E8C3A86"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75F8971A"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xml:space="preserve">NBC = </w:t>
            </w:r>
            <w:proofErr w:type="spellStart"/>
            <w:r w:rsidRPr="002E5F86">
              <w:rPr>
                <w:rFonts w:ascii="Times New Roman" w:eastAsia="Times New Roman" w:hAnsi="Times New Roman" w:cs="Times New Roman"/>
                <w:b/>
                <w:bCs/>
                <w:color w:val="FFFFFF"/>
                <w:sz w:val="24"/>
                <w:szCs w:val="24"/>
                <w:u w:val="single"/>
                <w:lang w:val="en-US" w:eastAsia="en-US" w:bidi="hi-IN"/>
              </w:rPr>
              <w:t>NFEat</w:t>
            </w:r>
            <w:proofErr w:type="spellEnd"/>
            <w:r w:rsidRPr="002E5F86">
              <w:rPr>
                <w:rFonts w:ascii="Times New Roman" w:eastAsia="Times New Roman" w:hAnsi="Times New Roman" w:cs="Times New Roman"/>
                <w:b/>
                <w:bCs/>
                <w:color w:val="FFFFFF"/>
                <w:sz w:val="24"/>
                <w:szCs w:val="24"/>
                <w:u w:val="single"/>
                <w:lang w:val="en-US" w:eastAsia="en-US" w:bidi="hi-IN"/>
              </w:rPr>
              <w:t>/NFO</w:t>
            </w:r>
          </w:p>
        </w:tc>
        <w:tc>
          <w:tcPr>
            <w:tcW w:w="1040" w:type="dxa"/>
            <w:tcBorders>
              <w:top w:val="nil"/>
              <w:left w:val="nil"/>
              <w:bottom w:val="single" w:sz="4" w:space="0" w:color="auto"/>
              <w:right w:val="single" w:sz="4" w:space="0" w:color="auto"/>
            </w:tcBorders>
            <w:shd w:val="clear" w:color="000000" w:fill="7030A0"/>
            <w:noWrap/>
            <w:vAlign w:val="center"/>
            <w:hideMark/>
          </w:tcPr>
          <w:p w14:paraId="5CC9BF73"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42C2741F"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2.808%</w:t>
            </w:r>
          </w:p>
        </w:tc>
        <w:tc>
          <w:tcPr>
            <w:tcW w:w="980" w:type="dxa"/>
            <w:tcBorders>
              <w:top w:val="nil"/>
              <w:left w:val="nil"/>
              <w:bottom w:val="single" w:sz="4" w:space="0" w:color="auto"/>
              <w:right w:val="single" w:sz="4" w:space="0" w:color="auto"/>
            </w:tcBorders>
            <w:shd w:val="clear" w:color="000000" w:fill="7030A0"/>
            <w:noWrap/>
            <w:vAlign w:val="center"/>
            <w:hideMark/>
          </w:tcPr>
          <w:p w14:paraId="38ED9ED5"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1.969%</w:t>
            </w:r>
          </w:p>
        </w:tc>
        <w:tc>
          <w:tcPr>
            <w:tcW w:w="1040" w:type="dxa"/>
            <w:tcBorders>
              <w:top w:val="nil"/>
              <w:left w:val="nil"/>
              <w:bottom w:val="single" w:sz="4" w:space="0" w:color="auto"/>
              <w:right w:val="single" w:sz="4" w:space="0" w:color="auto"/>
            </w:tcBorders>
            <w:shd w:val="clear" w:color="000000" w:fill="7030A0"/>
            <w:noWrap/>
            <w:vAlign w:val="center"/>
            <w:hideMark/>
          </w:tcPr>
          <w:p w14:paraId="0EF3157E"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2.170%</w:t>
            </w:r>
          </w:p>
        </w:tc>
      </w:tr>
      <w:tr w:rsidR="008D497D" w:rsidRPr="002E5F86" w14:paraId="2A771D4D"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04ADDF8E"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SPREAD</w:t>
            </w:r>
          </w:p>
        </w:tc>
        <w:tc>
          <w:tcPr>
            <w:tcW w:w="1040" w:type="dxa"/>
            <w:tcBorders>
              <w:top w:val="nil"/>
              <w:left w:val="nil"/>
              <w:bottom w:val="nil"/>
              <w:right w:val="single" w:sz="4" w:space="0" w:color="auto"/>
            </w:tcBorders>
            <w:shd w:val="clear" w:color="000000" w:fill="B7DEE8"/>
            <w:noWrap/>
            <w:vAlign w:val="center"/>
            <w:hideMark/>
          </w:tcPr>
          <w:p w14:paraId="1D65F8E5"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6C0A2668"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5C704CFB"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5B4613EC"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 </w:t>
            </w:r>
          </w:p>
        </w:tc>
      </w:tr>
      <w:tr w:rsidR="008D497D" w:rsidRPr="002E5F86" w14:paraId="62911BDD"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36ABE14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RNOA</w:t>
            </w:r>
          </w:p>
        </w:tc>
        <w:tc>
          <w:tcPr>
            <w:tcW w:w="1040" w:type="dxa"/>
            <w:tcBorders>
              <w:top w:val="nil"/>
              <w:left w:val="nil"/>
              <w:bottom w:val="nil"/>
              <w:right w:val="single" w:sz="4" w:space="0" w:color="auto"/>
            </w:tcBorders>
            <w:shd w:val="clear" w:color="000000" w:fill="B7DEE8"/>
            <w:noWrap/>
            <w:vAlign w:val="center"/>
            <w:hideMark/>
          </w:tcPr>
          <w:p w14:paraId="7AEE0D2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197B5907"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37.56%</w:t>
            </w:r>
          </w:p>
        </w:tc>
        <w:tc>
          <w:tcPr>
            <w:tcW w:w="980" w:type="dxa"/>
            <w:tcBorders>
              <w:top w:val="nil"/>
              <w:left w:val="nil"/>
              <w:bottom w:val="nil"/>
              <w:right w:val="single" w:sz="4" w:space="0" w:color="auto"/>
            </w:tcBorders>
            <w:shd w:val="clear" w:color="000000" w:fill="B7DEE8"/>
            <w:noWrap/>
            <w:vAlign w:val="center"/>
            <w:hideMark/>
          </w:tcPr>
          <w:p w14:paraId="2C131C83"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30.77%</w:t>
            </w:r>
          </w:p>
        </w:tc>
        <w:tc>
          <w:tcPr>
            <w:tcW w:w="1040" w:type="dxa"/>
            <w:tcBorders>
              <w:top w:val="nil"/>
              <w:left w:val="nil"/>
              <w:bottom w:val="nil"/>
              <w:right w:val="single" w:sz="4" w:space="0" w:color="auto"/>
            </w:tcBorders>
            <w:shd w:val="clear" w:color="000000" w:fill="B7DEE8"/>
            <w:noWrap/>
            <w:vAlign w:val="center"/>
            <w:hideMark/>
          </w:tcPr>
          <w:p w14:paraId="7439A58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27.10%</w:t>
            </w:r>
          </w:p>
        </w:tc>
      </w:tr>
      <w:tr w:rsidR="008D497D" w:rsidRPr="002E5F86" w14:paraId="647D8518"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73E6E10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NBC</w:t>
            </w:r>
          </w:p>
        </w:tc>
        <w:tc>
          <w:tcPr>
            <w:tcW w:w="1040" w:type="dxa"/>
            <w:tcBorders>
              <w:top w:val="nil"/>
              <w:left w:val="nil"/>
              <w:bottom w:val="nil"/>
              <w:right w:val="single" w:sz="4" w:space="0" w:color="auto"/>
            </w:tcBorders>
            <w:shd w:val="clear" w:color="000000" w:fill="B7DEE8"/>
            <w:noWrap/>
            <w:vAlign w:val="center"/>
            <w:hideMark/>
          </w:tcPr>
          <w:p w14:paraId="7B547B8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7314A32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2.81%</w:t>
            </w:r>
          </w:p>
        </w:tc>
        <w:tc>
          <w:tcPr>
            <w:tcW w:w="980" w:type="dxa"/>
            <w:tcBorders>
              <w:top w:val="nil"/>
              <w:left w:val="nil"/>
              <w:bottom w:val="nil"/>
              <w:right w:val="single" w:sz="4" w:space="0" w:color="auto"/>
            </w:tcBorders>
            <w:shd w:val="clear" w:color="000000" w:fill="B7DEE8"/>
            <w:noWrap/>
            <w:vAlign w:val="center"/>
            <w:hideMark/>
          </w:tcPr>
          <w:p w14:paraId="79C4857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1.97%</w:t>
            </w:r>
          </w:p>
        </w:tc>
        <w:tc>
          <w:tcPr>
            <w:tcW w:w="1040" w:type="dxa"/>
            <w:tcBorders>
              <w:top w:val="nil"/>
              <w:left w:val="nil"/>
              <w:bottom w:val="nil"/>
              <w:right w:val="single" w:sz="4" w:space="0" w:color="auto"/>
            </w:tcBorders>
            <w:shd w:val="clear" w:color="000000" w:fill="B7DEE8"/>
            <w:noWrap/>
            <w:vAlign w:val="center"/>
            <w:hideMark/>
          </w:tcPr>
          <w:p w14:paraId="0340B57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2.17%</w:t>
            </w:r>
          </w:p>
        </w:tc>
      </w:tr>
      <w:tr w:rsidR="008D497D" w:rsidRPr="002E5F86" w14:paraId="7D44FBE7"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3E67C9C8"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SPREAD (RNOA - NBC)</w:t>
            </w:r>
          </w:p>
        </w:tc>
        <w:tc>
          <w:tcPr>
            <w:tcW w:w="1040" w:type="dxa"/>
            <w:tcBorders>
              <w:top w:val="nil"/>
              <w:left w:val="nil"/>
              <w:bottom w:val="single" w:sz="4" w:space="0" w:color="auto"/>
              <w:right w:val="single" w:sz="4" w:space="0" w:color="auto"/>
            </w:tcBorders>
            <w:shd w:val="clear" w:color="000000" w:fill="7030A0"/>
            <w:noWrap/>
            <w:vAlign w:val="center"/>
            <w:hideMark/>
          </w:tcPr>
          <w:p w14:paraId="2EB4C2E4"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67A5785F"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34.75%</w:t>
            </w:r>
          </w:p>
        </w:tc>
        <w:tc>
          <w:tcPr>
            <w:tcW w:w="980" w:type="dxa"/>
            <w:tcBorders>
              <w:top w:val="nil"/>
              <w:left w:val="nil"/>
              <w:bottom w:val="single" w:sz="4" w:space="0" w:color="auto"/>
              <w:right w:val="single" w:sz="4" w:space="0" w:color="auto"/>
            </w:tcBorders>
            <w:shd w:val="clear" w:color="000000" w:fill="7030A0"/>
            <w:noWrap/>
            <w:vAlign w:val="center"/>
            <w:hideMark/>
          </w:tcPr>
          <w:p w14:paraId="5207C2A8"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28.80%</w:t>
            </w:r>
          </w:p>
        </w:tc>
        <w:tc>
          <w:tcPr>
            <w:tcW w:w="1040" w:type="dxa"/>
            <w:tcBorders>
              <w:top w:val="nil"/>
              <w:left w:val="nil"/>
              <w:bottom w:val="single" w:sz="4" w:space="0" w:color="auto"/>
              <w:right w:val="single" w:sz="4" w:space="0" w:color="auto"/>
            </w:tcBorders>
            <w:shd w:val="clear" w:color="000000" w:fill="7030A0"/>
            <w:noWrap/>
            <w:vAlign w:val="center"/>
            <w:hideMark/>
          </w:tcPr>
          <w:p w14:paraId="0EC38153"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24.93%</w:t>
            </w:r>
          </w:p>
        </w:tc>
      </w:tr>
      <w:tr w:rsidR="008D497D" w:rsidRPr="002E5F86" w14:paraId="5440558D"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5A80DA4E"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ATO</w:t>
            </w:r>
          </w:p>
        </w:tc>
        <w:tc>
          <w:tcPr>
            <w:tcW w:w="1040" w:type="dxa"/>
            <w:tcBorders>
              <w:top w:val="nil"/>
              <w:left w:val="nil"/>
              <w:bottom w:val="nil"/>
              <w:right w:val="single" w:sz="4" w:space="0" w:color="auto"/>
            </w:tcBorders>
            <w:shd w:val="clear" w:color="000000" w:fill="B7DEE8"/>
            <w:noWrap/>
            <w:vAlign w:val="center"/>
            <w:hideMark/>
          </w:tcPr>
          <w:p w14:paraId="1C43D94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71F229D7"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723C02C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1040" w:type="dxa"/>
            <w:tcBorders>
              <w:top w:val="nil"/>
              <w:left w:val="nil"/>
              <w:bottom w:val="nil"/>
              <w:right w:val="single" w:sz="4" w:space="0" w:color="auto"/>
            </w:tcBorders>
            <w:shd w:val="clear" w:color="000000" w:fill="B7DEE8"/>
            <w:noWrap/>
            <w:vAlign w:val="center"/>
            <w:hideMark/>
          </w:tcPr>
          <w:p w14:paraId="03439F3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489BCA09"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431EE82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Revenue (sales)</w:t>
            </w:r>
          </w:p>
        </w:tc>
        <w:tc>
          <w:tcPr>
            <w:tcW w:w="1040" w:type="dxa"/>
            <w:tcBorders>
              <w:top w:val="nil"/>
              <w:left w:val="nil"/>
              <w:bottom w:val="nil"/>
              <w:right w:val="single" w:sz="4" w:space="0" w:color="auto"/>
            </w:tcBorders>
            <w:shd w:val="clear" w:color="000000" w:fill="B7DEE8"/>
            <w:noWrap/>
            <w:vAlign w:val="center"/>
            <w:hideMark/>
          </w:tcPr>
          <w:p w14:paraId="13BC05A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54,916</w:t>
            </w:r>
          </w:p>
        </w:tc>
        <w:tc>
          <w:tcPr>
            <w:tcW w:w="980" w:type="dxa"/>
            <w:tcBorders>
              <w:top w:val="nil"/>
              <w:left w:val="nil"/>
              <w:bottom w:val="nil"/>
              <w:right w:val="single" w:sz="4" w:space="0" w:color="auto"/>
            </w:tcBorders>
            <w:shd w:val="clear" w:color="000000" w:fill="B7DEE8"/>
            <w:noWrap/>
            <w:vAlign w:val="center"/>
            <w:hideMark/>
          </w:tcPr>
          <w:p w14:paraId="2F32362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58,674</w:t>
            </w:r>
          </w:p>
        </w:tc>
        <w:tc>
          <w:tcPr>
            <w:tcW w:w="980" w:type="dxa"/>
            <w:tcBorders>
              <w:top w:val="nil"/>
              <w:left w:val="nil"/>
              <w:bottom w:val="nil"/>
              <w:right w:val="single" w:sz="4" w:space="0" w:color="auto"/>
            </w:tcBorders>
            <w:shd w:val="clear" w:color="000000" w:fill="B7DEE8"/>
            <w:noWrap/>
            <w:vAlign w:val="center"/>
            <w:hideMark/>
          </w:tcPr>
          <w:p w14:paraId="345374F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60,952</w:t>
            </w:r>
          </w:p>
        </w:tc>
        <w:tc>
          <w:tcPr>
            <w:tcW w:w="1040" w:type="dxa"/>
            <w:tcBorders>
              <w:top w:val="nil"/>
              <w:left w:val="nil"/>
              <w:bottom w:val="nil"/>
              <w:right w:val="single" w:sz="4" w:space="0" w:color="auto"/>
            </w:tcBorders>
            <w:shd w:val="clear" w:color="000000" w:fill="B7DEE8"/>
            <w:noWrap/>
            <w:vAlign w:val="center"/>
            <w:hideMark/>
          </w:tcPr>
          <w:p w14:paraId="00BC086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60,868</w:t>
            </w:r>
          </w:p>
        </w:tc>
      </w:tr>
      <w:tr w:rsidR="008D497D" w:rsidRPr="002E5F86" w14:paraId="52B489F5" w14:textId="77777777" w:rsidTr="008D497D">
        <w:trPr>
          <w:trHeight w:val="276"/>
        </w:trPr>
        <w:tc>
          <w:tcPr>
            <w:tcW w:w="5040" w:type="dxa"/>
            <w:tcBorders>
              <w:top w:val="nil"/>
              <w:left w:val="single" w:sz="8" w:space="0" w:color="auto"/>
              <w:bottom w:val="nil"/>
              <w:right w:val="single" w:sz="8" w:space="0" w:color="auto"/>
            </w:tcBorders>
            <w:shd w:val="clear" w:color="000000" w:fill="B7DEE8"/>
            <w:noWrap/>
            <w:vAlign w:val="bottom"/>
            <w:hideMark/>
          </w:tcPr>
          <w:p w14:paraId="1BA29AF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Average NOA</w:t>
            </w:r>
          </w:p>
        </w:tc>
        <w:tc>
          <w:tcPr>
            <w:tcW w:w="1040" w:type="dxa"/>
            <w:tcBorders>
              <w:top w:val="nil"/>
              <w:left w:val="nil"/>
              <w:bottom w:val="nil"/>
              <w:right w:val="single" w:sz="4" w:space="0" w:color="auto"/>
            </w:tcBorders>
            <w:shd w:val="clear" w:color="000000" w:fill="B7DEE8"/>
            <w:noWrap/>
            <w:vAlign w:val="center"/>
            <w:hideMark/>
          </w:tcPr>
          <w:p w14:paraId="481F663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980" w:type="dxa"/>
            <w:tcBorders>
              <w:top w:val="nil"/>
              <w:left w:val="nil"/>
              <w:bottom w:val="nil"/>
              <w:right w:val="single" w:sz="4" w:space="0" w:color="auto"/>
            </w:tcBorders>
            <w:shd w:val="clear" w:color="000000" w:fill="B7DEE8"/>
            <w:noWrap/>
            <w:vAlign w:val="center"/>
            <w:hideMark/>
          </w:tcPr>
          <w:p w14:paraId="77A15B8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7711</w:t>
            </w:r>
          </w:p>
        </w:tc>
        <w:tc>
          <w:tcPr>
            <w:tcW w:w="980" w:type="dxa"/>
            <w:tcBorders>
              <w:top w:val="nil"/>
              <w:left w:val="nil"/>
              <w:bottom w:val="nil"/>
              <w:right w:val="single" w:sz="4" w:space="0" w:color="auto"/>
            </w:tcBorders>
            <w:shd w:val="clear" w:color="000000" w:fill="B7DEE8"/>
            <w:noWrap/>
            <w:vAlign w:val="center"/>
            <w:hideMark/>
          </w:tcPr>
          <w:p w14:paraId="0441BE3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9023</w:t>
            </w:r>
          </w:p>
        </w:tc>
        <w:tc>
          <w:tcPr>
            <w:tcW w:w="1040" w:type="dxa"/>
            <w:tcBorders>
              <w:top w:val="nil"/>
              <w:left w:val="nil"/>
              <w:bottom w:val="nil"/>
              <w:right w:val="single" w:sz="4" w:space="0" w:color="auto"/>
            </w:tcBorders>
            <w:shd w:val="clear" w:color="000000" w:fill="B7DEE8"/>
            <w:noWrap/>
            <w:vAlign w:val="center"/>
            <w:hideMark/>
          </w:tcPr>
          <w:p w14:paraId="692BDC6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10566</w:t>
            </w:r>
          </w:p>
        </w:tc>
      </w:tr>
      <w:tr w:rsidR="008D497D" w:rsidRPr="002E5F86" w14:paraId="3F73DA15" w14:textId="77777777" w:rsidTr="008D497D">
        <w:trPr>
          <w:trHeight w:val="276"/>
        </w:trPr>
        <w:tc>
          <w:tcPr>
            <w:tcW w:w="5040" w:type="dxa"/>
            <w:tcBorders>
              <w:top w:val="nil"/>
              <w:left w:val="single" w:sz="8" w:space="0" w:color="auto"/>
              <w:bottom w:val="single" w:sz="4" w:space="0" w:color="auto"/>
              <w:right w:val="single" w:sz="8" w:space="0" w:color="auto"/>
            </w:tcBorders>
            <w:shd w:val="clear" w:color="000000" w:fill="7030A0"/>
            <w:noWrap/>
            <w:vAlign w:val="bottom"/>
            <w:hideMark/>
          </w:tcPr>
          <w:p w14:paraId="731D4A9A"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lastRenderedPageBreak/>
              <w:t>ATO = Sales/Average NOA</w:t>
            </w:r>
          </w:p>
        </w:tc>
        <w:tc>
          <w:tcPr>
            <w:tcW w:w="1040" w:type="dxa"/>
            <w:tcBorders>
              <w:top w:val="nil"/>
              <w:left w:val="nil"/>
              <w:bottom w:val="single" w:sz="4" w:space="0" w:color="auto"/>
              <w:right w:val="single" w:sz="4" w:space="0" w:color="auto"/>
            </w:tcBorders>
            <w:shd w:val="clear" w:color="000000" w:fill="7030A0"/>
            <w:noWrap/>
            <w:vAlign w:val="center"/>
            <w:hideMark/>
          </w:tcPr>
          <w:p w14:paraId="45C3E48A"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 </w:t>
            </w:r>
          </w:p>
        </w:tc>
        <w:tc>
          <w:tcPr>
            <w:tcW w:w="980" w:type="dxa"/>
            <w:tcBorders>
              <w:top w:val="nil"/>
              <w:left w:val="nil"/>
              <w:bottom w:val="single" w:sz="4" w:space="0" w:color="auto"/>
              <w:right w:val="single" w:sz="4" w:space="0" w:color="auto"/>
            </w:tcBorders>
            <w:shd w:val="clear" w:color="000000" w:fill="7030A0"/>
            <w:noWrap/>
            <w:vAlign w:val="center"/>
            <w:hideMark/>
          </w:tcPr>
          <w:p w14:paraId="07235FDF"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7.6</w:t>
            </w:r>
          </w:p>
        </w:tc>
        <w:tc>
          <w:tcPr>
            <w:tcW w:w="980" w:type="dxa"/>
            <w:tcBorders>
              <w:top w:val="nil"/>
              <w:left w:val="nil"/>
              <w:bottom w:val="single" w:sz="4" w:space="0" w:color="auto"/>
              <w:right w:val="single" w:sz="4" w:space="0" w:color="auto"/>
            </w:tcBorders>
            <w:shd w:val="clear" w:color="000000" w:fill="7030A0"/>
            <w:noWrap/>
            <w:vAlign w:val="center"/>
            <w:hideMark/>
          </w:tcPr>
          <w:p w14:paraId="7321AA67"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6.8</w:t>
            </w:r>
          </w:p>
        </w:tc>
        <w:tc>
          <w:tcPr>
            <w:tcW w:w="1040" w:type="dxa"/>
            <w:tcBorders>
              <w:top w:val="nil"/>
              <w:left w:val="nil"/>
              <w:bottom w:val="single" w:sz="4" w:space="0" w:color="auto"/>
              <w:right w:val="single" w:sz="4" w:space="0" w:color="auto"/>
            </w:tcBorders>
            <w:shd w:val="clear" w:color="000000" w:fill="7030A0"/>
            <w:noWrap/>
            <w:vAlign w:val="center"/>
            <w:hideMark/>
          </w:tcPr>
          <w:p w14:paraId="6D931AB1"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u w:val="single"/>
                <w:lang w:val="en-US" w:eastAsia="en-US" w:bidi="hi-IN"/>
              </w:rPr>
            </w:pPr>
            <w:r w:rsidRPr="002E5F86">
              <w:rPr>
                <w:rFonts w:ascii="Times New Roman" w:eastAsia="Times New Roman" w:hAnsi="Times New Roman" w:cs="Times New Roman"/>
                <w:b/>
                <w:bCs/>
                <w:color w:val="FFFFFF"/>
                <w:sz w:val="24"/>
                <w:szCs w:val="24"/>
                <w:u w:val="single"/>
                <w:lang w:val="en-US" w:eastAsia="en-US" w:bidi="hi-IN"/>
              </w:rPr>
              <w:t>5.8</w:t>
            </w:r>
          </w:p>
        </w:tc>
      </w:tr>
      <w:tr w:rsidR="008D497D" w:rsidRPr="002E5F86" w14:paraId="3F2815B0" w14:textId="77777777" w:rsidTr="008D497D">
        <w:trPr>
          <w:trHeight w:val="288"/>
        </w:trPr>
        <w:tc>
          <w:tcPr>
            <w:tcW w:w="5040" w:type="dxa"/>
            <w:tcBorders>
              <w:top w:val="nil"/>
              <w:left w:val="single" w:sz="8" w:space="0" w:color="auto"/>
              <w:bottom w:val="single" w:sz="8" w:space="0" w:color="auto"/>
              <w:right w:val="single" w:sz="8" w:space="0" w:color="auto"/>
            </w:tcBorders>
            <w:shd w:val="clear" w:color="000000" w:fill="B7DEE8"/>
            <w:noWrap/>
            <w:vAlign w:val="bottom"/>
            <w:hideMark/>
          </w:tcPr>
          <w:p w14:paraId="5A82331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u w:val="single"/>
                <w:lang w:val="en-US" w:eastAsia="en-US" w:bidi="hi-IN"/>
              </w:rPr>
            </w:pPr>
            <w:proofErr w:type="spellStart"/>
            <w:r w:rsidRPr="002E5F86">
              <w:rPr>
                <w:rFonts w:ascii="Times New Roman" w:eastAsia="Times New Roman" w:hAnsi="Times New Roman" w:cs="Times New Roman"/>
                <w:b/>
                <w:bCs/>
                <w:color w:val="000000"/>
                <w:sz w:val="24"/>
                <w:szCs w:val="24"/>
                <w:u w:val="single"/>
                <w:lang w:val="en-US" w:eastAsia="en-US" w:bidi="hi-IN"/>
              </w:rPr>
              <w:t>Avg</w:t>
            </w:r>
            <w:proofErr w:type="spellEnd"/>
          </w:p>
        </w:tc>
        <w:tc>
          <w:tcPr>
            <w:tcW w:w="4040" w:type="dxa"/>
            <w:gridSpan w:val="4"/>
            <w:tcBorders>
              <w:top w:val="single" w:sz="4" w:space="0" w:color="auto"/>
              <w:left w:val="nil"/>
              <w:bottom w:val="single" w:sz="8" w:space="0" w:color="auto"/>
              <w:right w:val="nil"/>
            </w:tcBorders>
            <w:shd w:val="clear" w:color="000000" w:fill="B7DEE8"/>
            <w:noWrap/>
            <w:vAlign w:val="center"/>
            <w:hideMark/>
          </w:tcPr>
          <w:p w14:paraId="4FEFD76B" w14:textId="77777777" w:rsidR="008D497D" w:rsidRPr="002E5F86" w:rsidRDefault="008D497D" w:rsidP="00652892">
            <w:pPr>
              <w:spacing w:after="0" w:line="600" w:lineRule="auto"/>
              <w:jc w:val="center"/>
              <w:rPr>
                <w:rFonts w:ascii="Times New Roman" w:eastAsia="Times New Roman" w:hAnsi="Times New Roman" w:cs="Times New Roman"/>
                <w:b/>
                <w:bCs/>
                <w:color w:val="000000"/>
                <w:sz w:val="24"/>
                <w:szCs w:val="24"/>
                <w:u w:val="single"/>
                <w:lang w:val="en-US" w:eastAsia="en-US" w:bidi="hi-IN"/>
              </w:rPr>
            </w:pPr>
            <w:r w:rsidRPr="002E5F86">
              <w:rPr>
                <w:rFonts w:ascii="Times New Roman" w:eastAsia="Times New Roman" w:hAnsi="Times New Roman" w:cs="Times New Roman"/>
                <w:b/>
                <w:bCs/>
                <w:color w:val="000000"/>
                <w:sz w:val="24"/>
                <w:szCs w:val="24"/>
                <w:u w:val="single"/>
                <w:lang w:val="en-US" w:eastAsia="en-US" w:bidi="hi-IN"/>
              </w:rPr>
              <w:t>6.7</w:t>
            </w:r>
          </w:p>
        </w:tc>
      </w:tr>
    </w:tbl>
    <w:p w14:paraId="3D046ECD" w14:textId="0C1E6883" w:rsidR="001A3F5A" w:rsidRPr="002E5F86" w:rsidRDefault="001A3F5A" w:rsidP="00652892">
      <w:pPr>
        <w:spacing w:after="60" w:line="600" w:lineRule="auto"/>
        <w:jc w:val="both"/>
        <w:rPr>
          <w:rFonts w:ascii="Times New Roman" w:hAnsi="Times New Roman" w:cs="Times New Roman"/>
          <w:sz w:val="24"/>
          <w:szCs w:val="24"/>
        </w:rPr>
      </w:pPr>
    </w:p>
    <w:p w14:paraId="6E1B890F" w14:textId="77777777" w:rsidR="001A3F5A" w:rsidRPr="002E5F86" w:rsidRDefault="001A3F5A" w:rsidP="00652892">
      <w:pPr>
        <w:spacing w:after="60" w:line="600" w:lineRule="auto"/>
        <w:jc w:val="both"/>
        <w:rPr>
          <w:rFonts w:ascii="Times New Roman" w:hAnsi="Times New Roman" w:cs="Times New Roman"/>
          <w:b/>
          <w:sz w:val="24"/>
          <w:szCs w:val="24"/>
        </w:rPr>
      </w:pPr>
    </w:p>
    <w:p w14:paraId="3165F571" w14:textId="77777777" w:rsidR="001A3F5A" w:rsidRPr="002E5F86" w:rsidRDefault="001A3F5A" w:rsidP="00652892">
      <w:pPr>
        <w:spacing w:after="60" w:line="600" w:lineRule="auto"/>
        <w:jc w:val="both"/>
        <w:rPr>
          <w:rFonts w:ascii="Times New Roman" w:hAnsi="Times New Roman" w:cs="Times New Roman"/>
          <w:b/>
          <w:sz w:val="24"/>
          <w:szCs w:val="24"/>
        </w:rPr>
      </w:pPr>
    </w:p>
    <w:p w14:paraId="2F85C698"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4 – ROE</w:t>
      </w:r>
    </w:p>
    <w:p w14:paraId="79EC8301" w14:textId="45CCFA82" w:rsidR="008D497D" w:rsidRPr="002E5F86" w:rsidRDefault="008D497D"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noProof/>
          <w:sz w:val="24"/>
          <w:szCs w:val="24"/>
          <w:lang w:val="en-US" w:eastAsia="en-US"/>
        </w:rPr>
        <w:drawing>
          <wp:inline distT="0" distB="0" distL="0" distR="0" wp14:anchorId="63B32F9B" wp14:editId="16FB1D5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208731" w14:textId="7E303991" w:rsidR="001A3F5A" w:rsidRPr="002E5F86" w:rsidRDefault="001A3F5A" w:rsidP="00652892">
      <w:pPr>
        <w:spacing w:after="60" w:line="600" w:lineRule="auto"/>
        <w:jc w:val="both"/>
        <w:rPr>
          <w:rFonts w:ascii="Times New Roman" w:hAnsi="Times New Roman" w:cs="Times New Roman"/>
          <w:sz w:val="24"/>
          <w:szCs w:val="24"/>
        </w:rPr>
      </w:pPr>
    </w:p>
    <w:p w14:paraId="0CEF31B4"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5 – PM</w:t>
      </w:r>
    </w:p>
    <w:p w14:paraId="4548B0D7" w14:textId="3CDEE6DB" w:rsidR="008D497D" w:rsidRPr="002E5F86" w:rsidRDefault="008D497D"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noProof/>
          <w:sz w:val="24"/>
          <w:szCs w:val="24"/>
          <w:lang w:val="en-US" w:eastAsia="en-US"/>
        </w:rPr>
        <w:lastRenderedPageBreak/>
        <w:drawing>
          <wp:inline distT="0" distB="0" distL="0" distR="0" wp14:anchorId="4E4B25EA" wp14:editId="29DB606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528422" w14:textId="1B1D7DF8" w:rsidR="001A3F5A" w:rsidRPr="002E5F86" w:rsidRDefault="001A3F5A" w:rsidP="00652892">
      <w:pPr>
        <w:spacing w:after="60" w:line="600" w:lineRule="auto"/>
        <w:jc w:val="both"/>
        <w:rPr>
          <w:rFonts w:ascii="Times New Roman" w:hAnsi="Times New Roman" w:cs="Times New Roman"/>
          <w:sz w:val="24"/>
          <w:szCs w:val="24"/>
        </w:rPr>
      </w:pPr>
    </w:p>
    <w:p w14:paraId="2BA3D99B"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6 – ATO</w:t>
      </w:r>
    </w:p>
    <w:p w14:paraId="789F0CC2" w14:textId="4886ADBF" w:rsidR="008D497D" w:rsidRPr="002E5F86" w:rsidRDefault="008D497D"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noProof/>
          <w:sz w:val="24"/>
          <w:szCs w:val="24"/>
          <w:lang w:val="en-US" w:eastAsia="en-US"/>
        </w:rPr>
        <w:drawing>
          <wp:inline distT="0" distB="0" distL="0" distR="0" wp14:anchorId="71C450E0" wp14:editId="54007C6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DFCD33" w14:textId="5576442C" w:rsidR="001A3F5A" w:rsidRPr="002E5F86" w:rsidRDefault="001A3F5A" w:rsidP="00652892">
      <w:pPr>
        <w:spacing w:after="60" w:line="600" w:lineRule="auto"/>
        <w:jc w:val="both"/>
        <w:rPr>
          <w:rFonts w:ascii="Times New Roman" w:hAnsi="Times New Roman" w:cs="Times New Roman"/>
          <w:sz w:val="24"/>
          <w:szCs w:val="24"/>
        </w:rPr>
      </w:pPr>
    </w:p>
    <w:p w14:paraId="6FCFF8B6"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7 – NFL</w:t>
      </w:r>
    </w:p>
    <w:p w14:paraId="1885607F" w14:textId="59DEAAC1" w:rsidR="001A3F5A" w:rsidRPr="002E5F86" w:rsidRDefault="008D497D" w:rsidP="00652892">
      <w:pPr>
        <w:spacing w:after="60" w:line="600" w:lineRule="auto"/>
        <w:jc w:val="both"/>
        <w:rPr>
          <w:rFonts w:ascii="Times New Roman" w:hAnsi="Times New Roman" w:cs="Times New Roman"/>
          <w:sz w:val="24"/>
          <w:szCs w:val="24"/>
        </w:rPr>
      </w:pPr>
      <w:r w:rsidRPr="002E5F86">
        <w:rPr>
          <w:rFonts w:ascii="Times New Roman" w:hAnsi="Times New Roman" w:cs="Times New Roman"/>
          <w:noProof/>
          <w:sz w:val="24"/>
          <w:szCs w:val="24"/>
          <w:lang w:val="en-US" w:eastAsia="en-US"/>
        </w:rPr>
        <w:lastRenderedPageBreak/>
        <w:drawing>
          <wp:inline distT="0" distB="0" distL="0" distR="0" wp14:anchorId="4E498CD2" wp14:editId="49DC5258">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D39DB6" w14:textId="77777777" w:rsidR="001A3F5A" w:rsidRPr="002E5F86" w:rsidRDefault="001A3F5A" w:rsidP="00652892">
      <w:pPr>
        <w:spacing w:after="60" w:line="600" w:lineRule="auto"/>
        <w:jc w:val="both"/>
        <w:rPr>
          <w:rFonts w:ascii="Times New Roman" w:hAnsi="Times New Roman" w:cs="Times New Roman"/>
          <w:sz w:val="24"/>
          <w:szCs w:val="24"/>
        </w:rPr>
      </w:pPr>
    </w:p>
    <w:p w14:paraId="04562417" w14:textId="77777777" w:rsidR="001A3F5A" w:rsidRPr="002E5F86" w:rsidRDefault="001A3F5A" w:rsidP="00652892">
      <w:pPr>
        <w:spacing w:after="60" w:line="600" w:lineRule="auto"/>
        <w:jc w:val="both"/>
        <w:rPr>
          <w:rFonts w:ascii="Times New Roman" w:hAnsi="Times New Roman" w:cs="Times New Roman"/>
          <w:sz w:val="24"/>
          <w:szCs w:val="24"/>
        </w:rPr>
      </w:pPr>
    </w:p>
    <w:p w14:paraId="77B33914" w14:textId="77777777" w:rsidR="001A3F5A" w:rsidRPr="002E5F86" w:rsidRDefault="001A3F5A"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Appendix 8</w:t>
      </w:r>
    </w:p>
    <w:tbl>
      <w:tblPr>
        <w:tblW w:w="4880" w:type="dxa"/>
        <w:tblInd w:w="118" w:type="dxa"/>
        <w:tblLook w:val="04A0" w:firstRow="1" w:lastRow="0" w:firstColumn="1" w:lastColumn="0" w:noHBand="0" w:noVBand="1"/>
      </w:tblPr>
      <w:tblGrid>
        <w:gridCol w:w="1780"/>
        <w:gridCol w:w="760"/>
        <w:gridCol w:w="760"/>
        <w:gridCol w:w="820"/>
        <w:gridCol w:w="816"/>
      </w:tblGrid>
      <w:tr w:rsidR="008D497D" w:rsidRPr="002E5F86" w14:paraId="1707BF47" w14:textId="77777777" w:rsidTr="008D497D">
        <w:trPr>
          <w:trHeight w:val="276"/>
        </w:trPr>
        <w:tc>
          <w:tcPr>
            <w:tcW w:w="1780" w:type="dxa"/>
            <w:vMerge w:val="restart"/>
            <w:tcBorders>
              <w:top w:val="nil"/>
              <w:left w:val="single" w:sz="8" w:space="0" w:color="auto"/>
              <w:bottom w:val="single" w:sz="4" w:space="0" w:color="000000"/>
              <w:right w:val="single" w:sz="4" w:space="0" w:color="auto"/>
            </w:tcBorders>
            <w:shd w:val="clear" w:color="000000" w:fill="7030A0"/>
            <w:noWrap/>
            <w:vAlign w:val="bottom"/>
            <w:hideMark/>
          </w:tcPr>
          <w:p w14:paraId="52DBA09B" w14:textId="77777777" w:rsidR="008D497D" w:rsidRPr="002E5F86" w:rsidRDefault="008D497D" w:rsidP="00652892">
            <w:pPr>
              <w:spacing w:after="0" w:line="600" w:lineRule="auto"/>
              <w:jc w:val="center"/>
              <w:rPr>
                <w:rFonts w:ascii="Times New Roman" w:eastAsia="Times New Roman" w:hAnsi="Times New Roman" w:cs="Times New Roman"/>
                <w:b/>
                <w:bCs/>
                <w:color w:val="FFFFFF"/>
                <w:sz w:val="24"/>
                <w:szCs w:val="24"/>
                <w:lang w:val="en-US" w:eastAsia="en-US" w:bidi="hi-IN"/>
              </w:rPr>
            </w:pPr>
            <w:r w:rsidRPr="002E5F86">
              <w:rPr>
                <w:rFonts w:ascii="Times New Roman" w:eastAsia="Times New Roman" w:hAnsi="Times New Roman" w:cs="Times New Roman"/>
                <w:b/>
                <w:bCs/>
                <w:color w:val="FFFFFF"/>
                <w:sz w:val="24"/>
                <w:szCs w:val="24"/>
                <w:lang w:val="en-US" w:eastAsia="en-US" w:bidi="hi-IN"/>
              </w:rPr>
              <w:t> </w:t>
            </w:r>
          </w:p>
        </w:tc>
        <w:tc>
          <w:tcPr>
            <w:tcW w:w="760" w:type="dxa"/>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4EAD4C6C"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2012</w:t>
            </w:r>
          </w:p>
        </w:tc>
        <w:tc>
          <w:tcPr>
            <w:tcW w:w="760" w:type="dxa"/>
            <w:tcBorders>
              <w:top w:val="single" w:sz="8" w:space="0" w:color="auto"/>
              <w:left w:val="nil"/>
              <w:bottom w:val="nil"/>
              <w:right w:val="single" w:sz="4" w:space="0" w:color="auto"/>
            </w:tcBorders>
            <w:shd w:val="clear" w:color="000000" w:fill="B1A0C7"/>
            <w:noWrap/>
            <w:vAlign w:val="bottom"/>
            <w:hideMark/>
          </w:tcPr>
          <w:p w14:paraId="6959BD93"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2013</w:t>
            </w:r>
          </w:p>
        </w:tc>
        <w:tc>
          <w:tcPr>
            <w:tcW w:w="820" w:type="dxa"/>
            <w:tcBorders>
              <w:top w:val="single" w:sz="8" w:space="0" w:color="auto"/>
              <w:left w:val="nil"/>
              <w:bottom w:val="nil"/>
              <w:right w:val="single" w:sz="4" w:space="0" w:color="auto"/>
            </w:tcBorders>
            <w:shd w:val="clear" w:color="000000" w:fill="B1A0C7"/>
            <w:noWrap/>
            <w:vAlign w:val="bottom"/>
            <w:hideMark/>
          </w:tcPr>
          <w:p w14:paraId="32CA9149"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2014</w:t>
            </w:r>
          </w:p>
        </w:tc>
        <w:tc>
          <w:tcPr>
            <w:tcW w:w="760" w:type="dxa"/>
            <w:tcBorders>
              <w:top w:val="single" w:sz="8" w:space="0" w:color="auto"/>
              <w:left w:val="nil"/>
              <w:bottom w:val="nil"/>
              <w:right w:val="single" w:sz="4" w:space="0" w:color="auto"/>
            </w:tcBorders>
            <w:shd w:val="clear" w:color="000000" w:fill="B1A0C7"/>
            <w:noWrap/>
            <w:vAlign w:val="bottom"/>
            <w:hideMark/>
          </w:tcPr>
          <w:p w14:paraId="2034720A"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2015</w:t>
            </w:r>
          </w:p>
        </w:tc>
      </w:tr>
      <w:tr w:rsidR="008D497D" w:rsidRPr="002E5F86" w14:paraId="47BA666A" w14:textId="77777777" w:rsidTr="008D497D">
        <w:trPr>
          <w:trHeight w:val="276"/>
        </w:trPr>
        <w:tc>
          <w:tcPr>
            <w:tcW w:w="1780" w:type="dxa"/>
            <w:vMerge/>
            <w:tcBorders>
              <w:top w:val="nil"/>
              <w:left w:val="single" w:sz="8" w:space="0" w:color="auto"/>
              <w:bottom w:val="single" w:sz="4" w:space="0" w:color="000000"/>
              <w:right w:val="single" w:sz="4" w:space="0" w:color="auto"/>
            </w:tcBorders>
            <w:vAlign w:val="center"/>
            <w:hideMark/>
          </w:tcPr>
          <w:p w14:paraId="1F41D1E0" w14:textId="77777777" w:rsidR="008D497D" w:rsidRPr="002E5F86" w:rsidRDefault="008D497D" w:rsidP="00652892">
            <w:pPr>
              <w:spacing w:after="0" w:line="600" w:lineRule="auto"/>
              <w:rPr>
                <w:rFonts w:ascii="Times New Roman" w:eastAsia="Times New Roman" w:hAnsi="Times New Roman" w:cs="Times New Roman"/>
                <w:b/>
                <w:bCs/>
                <w:color w:val="FFFFFF"/>
                <w:sz w:val="24"/>
                <w:szCs w:val="24"/>
                <w:lang w:val="en-US" w:eastAsia="en-US" w:bidi="hi-IN"/>
              </w:rPr>
            </w:pPr>
          </w:p>
        </w:tc>
        <w:tc>
          <w:tcPr>
            <w:tcW w:w="760" w:type="dxa"/>
            <w:tcBorders>
              <w:top w:val="nil"/>
              <w:left w:val="nil"/>
              <w:bottom w:val="single" w:sz="4" w:space="0" w:color="auto"/>
              <w:right w:val="nil"/>
            </w:tcBorders>
            <w:shd w:val="clear" w:color="000000" w:fill="7030A0"/>
            <w:noWrap/>
            <w:vAlign w:val="bottom"/>
            <w:hideMark/>
          </w:tcPr>
          <w:p w14:paraId="3B1D3200"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lang w:val="en-US" w:eastAsia="en-US" w:bidi="hi-IN"/>
              </w:rPr>
            </w:pPr>
            <w:r w:rsidRPr="002E5F86">
              <w:rPr>
                <w:rFonts w:ascii="Times New Roman" w:eastAsia="Times New Roman" w:hAnsi="Times New Roman" w:cs="Times New Roman"/>
                <w:b/>
                <w:bCs/>
                <w:color w:val="FFFFFF"/>
                <w:sz w:val="24"/>
                <w:szCs w:val="24"/>
                <w:lang w:val="en-US" w:eastAsia="en-US" w:bidi="hi-IN"/>
              </w:rPr>
              <w:t>$000</w:t>
            </w:r>
          </w:p>
        </w:tc>
        <w:tc>
          <w:tcPr>
            <w:tcW w:w="760" w:type="dxa"/>
            <w:tcBorders>
              <w:top w:val="nil"/>
              <w:left w:val="nil"/>
              <w:bottom w:val="single" w:sz="4" w:space="0" w:color="auto"/>
              <w:right w:val="nil"/>
            </w:tcBorders>
            <w:shd w:val="clear" w:color="000000" w:fill="7030A0"/>
            <w:noWrap/>
            <w:vAlign w:val="bottom"/>
            <w:hideMark/>
          </w:tcPr>
          <w:p w14:paraId="6A14099B"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lang w:val="en-US" w:eastAsia="en-US" w:bidi="hi-IN"/>
              </w:rPr>
            </w:pPr>
            <w:r w:rsidRPr="002E5F86">
              <w:rPr>
                <w:rFonts w:ascii="Times New Roman" w:eastAsia="Times New Roman" w:hAnsi="Times New Roman" w:cs="Times New Roman"/>
                <w:b/>
                <w:bCs/>
                <w:color w:val="FFFFFF"/>
                <w:sz w:val="24"/>
                <w:szCs w:val="24"/>
                <w:lang w:val="en-US" w:eastAsia="en-US" w:bidi="hi-IN"/>
              </w:rPr>
              <w:t>$000</w:t>
            </w:r>
          </w:p>
        </w:tc>
        <w:tc>
          <w:tcPr>
            <w:tcW w:w="820" w:type="dxa"/>
            <w:tcBorders>
              <w:top w:val="nil"/>
              <w:left w:val="nil"/>
              <w:bottom w:val="single" w:sz="4" w:space="0" w:color="auto"/>
              <w:right w:val="nil"/>
            </w:tcBorders>
            <w:shd w:val="clear" w:color="000000" w:fill="7030A0"/>
            <w:noWrap/>
            <w:vAlign w:val="bottom"/>
            <w:hideMark/>
          </w:tcPr>
          <w:p w14:paraId="1DC176D2"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lang w:val="en-US" w:eastAsia="en-US" w:bidi="hi-IN"/>
              </w:rPr>
            </w:pPr>
            <w:r w:rsidRPr="002E5F86">
              <w:rPr>
                <w:rFonts w:ascii="Times New Roman" w:eastAsia="Times New Roman" w:hAnsi="Times New Roman" w:cs="Times New Roman"/>
                <w:b/>
                <w:bCs/>
                <w:color w:val="FFFFFF"/>
                <w:sz w:val="24"/>
                <w:szCs w:val="24"/>
                <w:lang w:val="en-US" w:eastAsia="en-US" w:bidi="hi-IN"/>
              </w:rPr>
              <w:t>$000</w:t>
            </w:r>
          </w:p>
        </w:tc>
        <w:tc>
          <w:tcPr>
            <w:tcW w:w="760" w:type="dxa"/>
            <w:tcBorders>
              <w:top w:val="nil"/>
              <w:left w:val="nil"/>
              <w:bottom w:val="single" w:sz="4" w:space="0" w:color="auto"/>
              <w:right w:val="nil"/>
            </w:tcBorders>
            <w:shd w:val="clear" w:color="000000" w:fill="7030A0"/>
            <w:noWrap/>
            <w:vAlign w:val="bottom"/>
            <w:hideMark/>
          </w:tcPr>
          <w:p w14:paraId="21F82544" w14:textId="77777777" w:rsidR="008D497D" w:rsidRPr="002E5F86" w:rsidRDefault="008D497D" w:rsidP="00652892">
            <w:pPr>
              <w:spacing w:after="0" w:line="600" w:lineRule="auto"/>
              <w:jc w:val="right"/>
              <w:rPr>
                <w:rFonts w:ascii="Times New Roman" w:eastAsia="Times New Roman" w:hAnsi="Times New Roman" w:cs="Times New Roman"/>
                <w:b/>
                <w:bCs/>
                <w:color w:val="FFFFFF"/>
                <w:sz w:val="24"/>
                <w:szCs w:val="24"/>
                <w:lang w:val="en-US" w:eastAsia="en-US" w:bidi="hi-IN"/>
              </w:rPr>
            </w:pPr>
            <w:r w:rsidRPr="002E5F86">
              <w:rPr>
                <w:rFonts w:ascii="Times New Roman" w:eastAsia="Times New Roman" w:hAnsi="Times New Roman" w:cs="Times New Roman"/>
                <w:b/>
                <w:bCs/>
                <w:color w:val="FFFFFF"/>
                <w:sz w:val="24"/>
                <w:szCs w:val="24"/>
                <w:lang w:val="en-US" w:eastAsia="en-US" w:bidi="hi-IN"/>
              </w:rPr>
              <w:t>$000</w:t>
            </w:r>
          </w:p>
        </w:tc>
      </w:tr>
      <w:tr w:rsidR="008D497D" w:rsidRPr="002E5F86" w14:paraId="0FC55D44"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54F7B9A3"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NOPAT</w:t>
            </w:r>
          </w:p>
        </w:tc>
        <w:tc>
          <w:tcPr>
            <w:tcW w:w="760" w:type="dxa"/>
            <w:tcBorders>
              <w:top w:val="nil"/>
              <w:left w:val="nil"/>
              <w:bottom w:val="single" w:sz="4" w:space="0" w:color="auto"/>
              <w:right w:val="single" w:sz="4" w:space="0" w:color="auto"/>
            </w:tcBorders>
            <w:shd w:val="clear" w:color="000000" w:fill="B7DEE8"/>
            <w:noWrap/>
            <w:vAlign w:val="bottom"/>
            <w:hideMark/>
          </w:tcPr>
          <w:p w14:paraId="3E9986D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2552</w:t>
            </w:r>
          </w:p>
        </w:tc>
        <w:tc>
          <w:tcPr>
            <w:tcW w:w="760" w:type="dxa"/>
            <w:tcBorders>
              <w:top w:val="nil"/>
              <w:left w:val="nil"/>
              <w:bottom w:val="single" w:sz="4" w:space="0" w:color="auto"/>
              <w:right w:val="single" w:sz="4" w:space="0" w:color="auto"/>
            </w:tcBorders>
            <w:shd w:val="clear" w:color="000000" w:fill="B7DEE8"/>
            <w:noWrap/>
            <w:vAlign w:val="bottom"/>
            <w:hideMark/>
          </w:tcPr>
          <w:p w14:paraId="22D6E423"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2896</w:t>
            </w:r>
          </w:p>
        </w:tc>
        <w:tc>
          <w:tcPr>
            <w:tcW w:w="820" w:type="dxa"/>
            <w:tcBorders>
              <w:top w:val="nil"/>
              <w:left w:val="nil"/>
              <w:bottom w:val="single" w:sz="4" w:space="0" w:color="auto"/>
              <w:right w:val="single" w:sz="4" w:space="0" w:color="auto"/>
            </w:tcBorders>
            <w:shd w:val="clear" w:color="000000" w:fill="B7DEE8"/>
            <w:noWrap/>
            <w:vAlign w:val="bottom"/>
            <w:hideMark/>
          </w:tcPr>
          <w:p w14:paraId="28FADA20"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2776</w:t>
            </w:r>
          </w:p>
        </w:tc>
        <w:tc>
          <w:tcPr>
            <w:tcW w:w="760" w:type="dxa"/>
            <w:tcBorders>
              <w:top w:val="nil"/>
              <w:left w:val="nil"/>
              <w:bottom w:val="single" w:sz="4" w:space="0" w:color="auto"/>
              <w:right w:val="single" w:sz="4" w:space="0" w:color="auto"/>
            </w:tcBorders>
            <w:shd w:val="clear" w:color="000000" w:fill="B7DEE8"/>
            <w:noWrap/>
            <w:vAlign w:val="bottom"/>
            <w:hideMark/>
          </w:tcPr>
          <w:p w14:paraId="3A8EB513"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2863</w:t>
            </w:r>
          </w:p>
        </w:tc>
      </w:tr>
      <w:tr w:rsidR="008D497D" w:rsidRPr="002E5F86" w14:paraId="718A8776"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2197B87F"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NOA</w:t>
            </w:r>
          </w:p>
        </w:tc>
        <w:tc>
          <w:tcPr>
            <w:tcW w:w="760" w:type="dxa"/>
            <w:tcBorders>
              <w:top w:val="nil"/>
              <w:left w:val="nil"/>
              <w:bottom w:val="single" w:sz="4" w:space="0" w:color="auto"/>
              <w:right w:val="single" w:sz="4" w:space="0" w:color="auto"/>
            </w:tcBorders>
            <w:shd w:val="clear" w:color="000000" w:fill="B7DEE8"/>
            <w:noWrap/>
            <w:vAlign w:val="bottom"/>
            <w:hideMark/>
          </w:tcPr>
          <w:p w14:paraId="548D9BD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7376</w:t>
            </w:r>
          </w:p>
        </w:tc>
        <w:tc>
          <w:tcPr>
            <w:tcW w:w="760" w:type="dxa"/>
            <w:tcBorders>
              <w:top w:val="nil"/>
              <w:left w:val="nil"/>
              <w:bottom w:val="single" w:sz="4" w:space="0" w:color="auto"/>
              <w:right w:val="single" w:sz="4" w:space="0" w:color="auto"/>
            </w:tcBorders>
            <w:shd w:val="clear" w:color="000000" w:fill="B7DEE8"/>
            <w:noWrap/>
            <w:vAlign w:val="bottom"/>
            <w:hideMark/>
          </w:tcPr>
          <w:p w14:paraId="57A0F17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8045</w:t>
            </w:r>
          </w:p>
        </w:tc>
        <w:tc>
          <w:tcPr>
            <w:tcW w:w="820" w:type="dxa"/>
            <w:tcBorders>
              <w:top w:val="nil"/>
              <w:left w:val="nil"/>
              <w:bottom w:val="single" w:sz="4" w:space="0" w:color="auto"/>
              <w:right w:val="single" w:sz="4" w:space="0" w:color="auto"/>
            </w:tcBorders>
            <w:shd w:val="clear" w:color="000000" w:fill="B7DEE8"/>
            <w:noWrap/>
            <w:vAlign w:val="bottom"/>
            <w:hideMark/>
          </w:tcPr>
          <w:p w14:paraId="545CDC1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10000</w:t>
            </w:r>
          </w:p>
        </w:tc>
        <w:tc>
          <w:tcPr>
            <w:tcW w:w="760" w:type="dxa"/>
            <w:tcBorders>
              <w:top w:val="nil"/>
              <w:left w:val="nil"/>
              <w:bottom w:val="single" w:sz="4" w:space="0" w:color="auto"/>
              <w:right w:val="single" w:sz="4" w:space="0" w:color="auto"/>
            </w:tcBorders>
            <w:shd w:val="clear" w:color="000000" w:fill="B7DEE8"/>
            <w:noWrap/>
            <w:vAlign w:val="bottom"/>
            <w:hideMark/>
          </w:tcPr>
          <w:p w14:paraId="09753BF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11132</w:t>
            </w:r>
          </w:p>
        </w:tc>
      </w:tr>
      <w:tr w:rsidR="008D497D" w:rsidRPr="002E5F86" w14:paraId="261B1BE9"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6A7BA90F"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∆NOA</w:t>
            </w:r>
          </w:p>
        </w:tc>
        <w:tc>
          <w:tcPr>
            <w:tcW w:w="760" w:type="dxa"/>
            <w:tcBorders>
              <w:top w:val="nil"/>
              <w:left w:val="nil"/>
              <w:bottom w:val="single" w:sz="4" w:space="0" w:color="auto"/>
              <w:right w:val="single" w:sz="4" w:space="0" w:color="auto"/>
            </w:tcBorders>
            <w:shd w:val="clear" w:color="000000" w:fill="B7DEE8"/>
            <w:noWrap/>
            <w:vAlign w:val="bottom"/>
            <w:hideMark/>
          </w:tcPr>
          <w:p w14:paraId="2511939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2E5709D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669</w:t>
            </w:r>
          </w:p>
        </w:tc>
        <w:tc>
          <w:tcPr>
            <w:tcW w:w="820" w:type="dxa"/>
            <w:tcBorders>
              <w:top w:val="nil"/>
              <w:left w:val="nil"/>
              <w:bottom w:val="single" w:sz="4" w:space="0" w:color="auto"/>
              <w:right w:val="single" w:sz="4" w:space="0" w:color="auto"/>
            </w:tcBorders>
            <w:shd w:val="clear" w:color="000000" w:fill="B7DEE8"/>
            <w:noWrap/>
            <w:vAlign w:val="bottom"/>
            <w:hideMark/>
          </w:tcPr>
          <w:p w14:paraId="5C20CFE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1955</w:t>
            </w:r>
          </w:p>
        </w:tc>
        <w:tc>
          <w:tcPr>
            <w:tcW w:w="760" w:type="dxa"/>
            <w:tcBorders>
              <w:top w:val="nil"/>
              <w:left w:val="nil"/>
              <w:bottom w:val="single" w:sz="4" w:space="0" w:color="auto"/>
              <w:right w:val="single" w:sz="4" w:space="0" w:color="auto"/>
            </w:tcBorders>
            <w:shd w:val="clear" w:color="000000" w:fill="B7DEE8"/>
            <w:noWrap/>
            <w:vAlign w:val="bottom"/>
            <w:hideMark/>
          </w:tcPr>
          <w:p w14:paraId="71D57CA1"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1132</w:t>
            </w:r>
          </w:p>
        </w:tc>
      </w:tr>
      <w:tr w:rsidR="008D497D" w:rsidRPr="002E5F86" w14:paraId="599BB5FC"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790A7103"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FCF</w:t>
            </w:r>
          </w:p>
        </w:tc>
        <w:tc>
          <w:tcPr>
            <w:tcW w:w="760" w:type="dxa"/>
            <w:tcBorders>
              <w:top w:val="nil"/>
              <w:left w:val="nil"/>
              <w:bottom w:val="single" w:sz="4" w:space="0" w:color="auto"/>
              <w:right w:val="single" w:sz="4" w:space="0" w:color="auto"/>
            </w:tcBorders>
            <w:shd w:val="clear" w:color="000000" w:fill="B7DEE8"/>
            <w:noWrap/>
            <w:vAlign w:val="bottom"/>
            <w:hideMark/>
          </w:tcPr>
          <w:p w14:paraId="209E8936"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7D029FA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2227</w:t>
            </w:r>
          </w:p>
        </w:tc>
        <w:tc>
          <w:tcPr>
            <w:tcW w:w="820" w:type="dxa"/>
            <w:tcBorders>
              <w:top w:val="nil"/>
              <w:left w:val="nil"/>
              <w:bottom w:val="single" w:sz="4" w:space="0" w:color="auto"/>
              <w:right w:val="single" w:sz="4" w:space="0" w:color="auto"/>
            </w:tcBorders>
            <w:shd w:val="clear" w:color="000000" w:fill="B7DEE8"/>
            <w:noWrap/>
            <w:vAlign w:val="bottom"/>
            <w:hideMark/>
          </w:tcPr>
          <w:p w14:paraId="68B49F7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821</w:t>
            </w:r>
          </w:p>
        </w:tc>
        <w:tc>
          <w:tcPr>
            <w:tcW w:w="760" w:type="dxa"/>
            <w:tcBorders>
              <w:top w:val="nil"/>
              <w:left w:val="nil"/>
              <w:bottom w:val="single" w:sz="4" w:space="0" w:color="auto"/>
              <w:right w:val="single" w:sz="4" w:space="0" w:color="auto"/>
            </w:tcBorders>
            <w:shd w:val="clear" w:color="000000" w:fill="B7DEE8"/>
            <w:noWrap/>
            <w:vAlign w:val="bottom"/>
            <w:hideMark/>
          </w:tcPr>
          <w:p w14:paraId="7457711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1731</w:t>
            </w:r>
          </w:p>
        </w:tc>
      </w:tr>
      <w:tr w:rsidR="008D497D" w:rsidRPr="002E5F86" w14:paraId="2276F2F1"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45A16AF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5C91B7E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5D493D3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820" w:type="dxa"/>
            <w:tcBorders>
              <w:top w:val="nil"/>
              <w:left w:val="nil"/>
              <w:bottom w:val="single" w:sz="4" w:space="0" w:color="auto"/>
              <w:right w:val="single" w:sz="4" w:space="0" w:color="auto"/>
            </w:tcBorders>
            <w:shd w:val="clear" w:color="000000" w:fill="B7DEE8"/>
            <w:noWrap/>
            <w:vAlign w:val="bottom"/>
            <w:hideMark/>
          </w:tcPr>
          <w:p w14:paraId="5DBF0D9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0579888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r>
      <w:tr w:rsidR="008D497D" w:rsidRPr="002E5F86" w14:paraId="7825FDF5"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4852C9DD"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proofErr w:type="spellStart"/>
            <w:r w:rsidRPr="002E5F86">
              <w:rPr>
                <w:rFonts w:ascii="Times New Roman" w:eastAsia="Times New Roman" w:hAnsi="Times New Roman" w:cs="Times New Roman"/>
                <w:b/>
                <w:bCs/>
                <w:color w:val="000000"/>
                <w:sz w:val="24"/>
                <w:szCs w:val="24"/>
                <w:lang w:val="en-US" w:eastAsia="en-US" w:bidi="hi-IN"/>
              </w:rPr>
              <w:t>NFEat</w:t>
            </w:r>
            <w:proofErr w:type="spellEnd"/>
          </w:p>
        </w:tc>
        <w:tc>
          <w:tcPr>
            <w:tcW w:w="760" w:type="dxa"/>
            <w:tcBorders>
              <w:top w:val="nil"/>
              <w:left w:val="nil"/>
              <w:bottom w:val="single" w:sz="4" w:space="0" w:color="auto"/>
              <w:right w:val="single" w:sz="4" w:space="0" w:color="auto"/>
            </w:tcBorders>
            <w:shd w:val="clear" w:color="000000" w:fill="B7DEE8"/>
            <w:noWrap/>
            <w:vAlign w:val="bottom"/>
            <w:hideMark/>
          </w:tcPr>
          <w:p w14:paraId="2B16F39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222</w:t>
            </w:r>
          </w:p>
        </w:tc>
        <w:tc>
          <w:tcPr>
            <w:tcW w:w="760" w:type="dxa"/>
            <w:tcBorders>
              <w:top w:val="nil"/>
              <w:left w:val="nil"/>
              <w:bottom w:val="single" w:sz="4" w:space="0" w:color="auto"/>
              <w:right w:val="single" w:sz="4" w:space="0" w:color="auto"/>
            </w:tcBorders>
            <w:shd w:val="clear" w:color="000000" w:fill="B7DEE8"/>
            <w:noWrap/>
            <w:vAlign w:val="bottom"/>
            <w:hideMark/>
          </w:tcPr>
          <w:p w14:paraId="2A8C76B9"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284</w:t>
            </w:r>
          </w:p>
        </w:tc>
        <w:tc>
          <w:tcPr>
            <w:tcW w:w="820" w:type="dxa"/>
            <w:tcBorders>
              <w:top w:val="nil"/>
              <w:left w:val="nil"/>
              <w:bottom w:val="single" w:sz="4" w:space="0" w:color="auto"/>
              <w:right w:val="single" w:sz="4" w:space="0" w:color="auto"/>
            </w:tcBorders>
            <w:shd w:val="clear" w:color="000000" w:fill="B7DEE8"/>
            <w:noWrap/>
            <w:vAlign w:val="bottom"/>
            <w:hideMark/>
          </w:tcPr>
          <w:p w14:paraId="69B362E2"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190</w:t>
            </w:r>
          </w:p>
        </w:tc>
        <w:tc>
          <w:tcPr>
            <w:tcW w:w="760" w:type="dxa"/>
            <w:tcBorders>
              <w:top w:val="nil"/>
              <w:left w:val="nil"/>
              <w:bottom w:val="single" w:sz="4" w:space="0" w:color="auto"/>
              <w:right w:val="single" w:sz="4" w:space="0" w:color="auto"/>
            </w:tcBorders>
            <w:shd w:val="clear" w:color="000000" w:fill="B7DEE8"/>
            <w:noWrap/>
            <w:vAlign w:val="bottom"/>
            <w:hideMark/>
          </w:tcPr>
          <w:p w14:paraId="21E5637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197</w:t>
            </w:r>
          </w:p>
        </w:tc>
      </w:tr>
      <w:tr w:rsidR="008D497D" w:rsidRPr="002E5F86" w14:paraId="1C3BB882"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648C9A82"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lastRenderedPageBreak/>
              <w:t>∆NFO</w:t>
            </w:r>
          </w:p>
        </w:tc>
        <w:tc>
          <w:tcPr>
            <w:tcW w:w="760" w:type="dxa"/>
            <w:tcBorders>
              <w:top w:val="nil"/>
              <w:left w:val="nil"/>
              <w:bottom w:val="single" w:sz="4" w:space="0" w:color="auto"/>
              <w:right w:val="single" w:sz="4" w:space="0" w:color="auto"/>
            </w:tcBorders>
            <w:shd w:val="clear" w:color="000000" w:fill="B7DEE8"/>
            <w:noWrap/>
            <w:vAlign w:val="bottom"/>
            <w:hideMark/>
          </w:tcPr>
          <w:p w14:paraId="01106CD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4" w:space="0" w:color="auto"/>
              <w:right w:val="single" w:sz="4" w:space="0" w:color="auto"/>
            </w:tcBorders>
            <w:shd w:val="clear" w:color="000000" w:fill="B7DEE8"/>
            <w:noWrap/>
            <w:vAlign w:val="bottom"/>
            <w:hideMark/>
          </w:tcPr>
          <w:p w14:paraId="6E2BE7AA"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-1081</w:t>
            </w:r>
          </w:p>
        </w:tc>
        <w:tc>
          <w:tcPr>
            <w:tcW w:w="820" w:type="dxa"/>
            <w:tcBorders>
              <w:top w:val="nil"/>
              <w:left w:val="nil"/>
              <w:bottom w:val="single" w:sz="4" w:space="0" w:color="auto"/>
              <w:right w:val="single" w:sz="4" w:space="0" w:color="auto"/>
            </w:tcBorders>
            <w:shd w:val="clear" w:color="000000" w:fill="B7DEE8"/>
            <w:noWrap/>
            <w:vAlign w:val="bottom"/>
            <w:hideMark/>
          </w:tcPr>
          <w:p w14:paraId="25635F1E"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165</w:t>
            </w:r>
          </w:p>
        </w:tc>
        <w:tc>
          <w:tcPr>
            <w:tcW w:w="760" w:type="dxa"/>
            <w:tcBorders>
              <w:top w:val="nil"/>
              <w:left w:val="nil"/>
              <w:bottom w:val="single" w:sz="4" w:space="0" w:color="auto"/>
              <w:right w:val="single" w:sz="4" w:space="0" w:color="auto"/>
            </w:tcBorders>
            <w:shd w:val="clear" w:color="000000" w:fill="B7DEE8"/>
            <w:noWrap/>
            <w:vAlign w:val="bottom"/>
            <w:hideMark/>
          </w:tcPr>
          <w:p w14:paraId="7044D8BD"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-1246</w:t>
            </w:r>
          </w:p>
        </w:tc>
      </w:tr>
      <w:tr w:rsidR="008D497D" w:rsidRPr="002E5F86" w14:paraId="493F07E0" w14:textId="77777777" w:rsidTr="008D497D">
        <w:trPr>
          <w:trHeight w:val="276"/>
        </w:trPr>
        <w:tc>
          <w:tcPr>
            <w:tcW w:w="1780" w:type="dxa"/>
            <w:tcBorders>
              <w:top w:val="nil"/>
              <w:left w:val="single" w:sz="8" w:space="0" w:color="auto"/>
              <w:bottom w:val="nil"/>
              <w:right w:val="single" w:sz="4" w:space="0" w:color="auto"/>
            </w:tcBorders>
            <w:shd w:val="clear" w:color="000000" w:fill="B7DEE8"/>
            <w:noWrap/>
            <w:vAlign w:val="bottom"/>
            <w:hideMark/>
          </w:tcPr>
          <w:p w14:paraId="3A2211CB"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d</w:t>
            </w:r>
          </w:p>
        </w:tc>
        <w:tc>
          <w:tcPr>
            <w:tcW w:w="760" w:type="dxa"/>
            <w:tcBorders>
              <w:top w:val="nil"/>
              <w:left w:val="nil"/>
              <w:bottom w:val="single" w:sz="4" w:space="0" w:color="auto"/>
              <w:right w:val="single" w:sz="4" w:space="0" w:color="auto"/>
            </w:tcBorders>
            <w:shd w:val="clear" w:color="000000" w:fill="B7DEE8"/>
            <w:noWrap/>
            <w:vAlign w:val="bottom"/>
            <w:hideMark/>
          </w:tcPr>
          <w:p w14:paraId="481165EC"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-2177</w:t>
            </w:r>
          </w:p>
        </w:tc>
        <w:tc>
          <w:tcPr>
            <w:tcW w:w="760" w:type="dxa"/>
            <w:tcBorders>
              <w:top w:val="nil"/>
              <w:left w:val="nil"/>
              <w:bottom w:val="single" w:sz="4" w:space="0" w:color="auto"/>
              <w:right w:val="single" w:sz="4" w:space="0" w:color="auto"/>
            </w:tcBorders>
            <w:shd w:val="clear" w:color="000000" w:fill="B7DEE8"/>
            <w:noWrap/>
            <w:vAlign w:val="bottom"/>
            <w:hideMark/>
          </w:tcPr>
          <w:p w14:paraId="5E7FEC05"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-1772</w:t>
            </w:r>
          </w:p>
        </w:tc>
        <w:tc>
          <w:tcPr>
            <w:tcW w:w="820" w:type="dxa"/>
            <w:tcBorders>
              <w:top w:val="nil"/>
              <w:left w:val="nil"/>
              <w:bottom w:val="single" w:sz="4" w:space="0" w:color="auto"/>
              <w:right w:val="single" w:sz="4" w:space="0" w:color="auto"/>
            </w:tcBorders>
            <w:shd w:val="clear" w:color="000000" w:fill="B7DEE8"/>
            <w:noWrap/>
            <w:vAlign w:val="bottom"/>
            <w:hideMark/>
          </w:tcPr>
          <w:p w14:paraId="6C8E5B1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-1364</w:t>
            </w:r>
          </w:p>
        </w:tc>
        <w:tc>
          <w:tcPr>
            <w:tcW w:w="760" w:type="dxa"/>
            <w:tcBorders>
              <w:top w:val="nil"/>
              <w:left w:val="nil"/>
              <w:bottom w:val="single" w:sz="4" w:space="0" w:color="auto"/>
              <w:right w:val="single" w:sz="4" w:space="0" w:color="auto"/>
            </w:tcBorders>
            <w:shd w:val="clear" w:color="000000" w:fill="B7DEE8"/>
            <w:noWrap/>
            <w:vAlign w:val="bottom"/>
            <w:hideMark/>
          </w:tcPr>
          <w:p w14:paraId="2C4AB644"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-2085</w:t>
            </w:r>
          </w:p>
        </w:tc>
      </w:tr>
      <w:tr w:rsidR="008D497D" w:rsidRPr="002E5F86" w14:paraId="58D18A6C" w14:textId="77777777" w:rsidTr="008D497D">
        <w:trPr>
          <w:trHeight w:val="288"/>
        </w:trPr>
        <w:tc>
          <w:tcPr>
            <w:tcW w:w="1780" w:type="dxa"/>
            <w:tcBorders>
              <w:top w:val="nil"/>
              <w:left w:val="single" w:sz="8" w:space="0" w:color="auto"/>
              <w:bottom w:val="single" w:sz="8" w:space="0" w:color="auto"/>
              <w:right w:val="single" w:sz="4" w:space="0" w:color="auto"/>
            </w:tcBorders>
            <w:shd w:val="clear" w:color="000000" w:fill="B7DEE8"/>
            <w:noWrap/>
            <w:vAlign w:val="bottom"/>
            <w:hideMark/>
          </w:tcPr>
          <w:p w14:paraId="121DE68F" w14:textId="77777777" w:rsidR="008D497D" w:rsidRPr="002E5F86" w:rsidRDefault="008D497D" w:rsidP="00652892">
            <w:pPr>
              <w:spacing w:after="0" w:line="600" w:lineRule="auto"/>
              <w:jc w:val="right"/>
              <w:rPr>
                <w:rFonts w:ascii="Times New Roman" w:eastAsia="Times New Roman" w:hAnsi="Times New Roman" w:cs="Times New Roman"/>
                <w:b/>
                <w:bCs/>
                <w:color w:val="000000"/>
                <w:sz w:val="24"/>
                <w:szCs w:val="24"/>
                <w:lang w:val="en-US" w:eastAsia="en-US" w:bidi="hi-IN"/>
              </w:rPr>
            </w:pPr>
            <w:r w:rsidRPr="002E5F86">
              <w:rPr>
                <w:rFonts w:ascii="Times New Roman" w:eastAsia="Times New Roman" w:hAnsi="Times New Roman" w:cs="Times New Roman"/>
                <w:b/>
                <w:bCs/>
                <w:color w:val="000000"/>
                <w:sz w:val="24"/>
                <w:szCs w:val="24"/>
                <w:lang w:val="en-US" w:eastAsia="en-US" w:bidi="hi-IN"/>
              </w:rPr>
              <w:t>FCF</w:t>
            </w:r>
          </w:p>
        </w:tc>
        <w:tc>
          <w:tcPr>
            <w:tcW w:w="760" w:type="dxa"/>
            <w:tcBorders>
              <w:top w:val="nil"/>
              <w:left w:val="nil"/>
              <w:bottom w:val="single" w:sz="8" w:space="0" w:color="auto"/>
              <w:right w:val="single" w:sz="4" w:space="0" w:color="auto"/>
            </w:tcBorders>
            <w:shd w:val="clear" w:color="000000" w:fill="B7DEE8"/>
            <w:noWrap/>
            <w:vAlign w:val="bottom"/>
            <w:hideMark/>
          </w:tcPr>
          <w:p w14:paraId="2022A8A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 </w:t>
            </w:r>
          </w:p>
        </w:tc>
        <w:tc>
          <w:tcPr>
            <w:tcW w:w="760" w:type="dxa"/>
            <w:tcBorders>
              <w:top w:val="nil"/>
              <w:left w:val="nil"/>
              <w:bottom w:val="single" w:sz="8" w:space="0" w:color="auto"/>
              <w:right w:val="single" w:sz="4" w:space="0" w:color="auto"/>
            </w:tcBorders>
            <w:shd w:val="clear" w:color="000000" w:fill="B7DEE8"/>
            <w:noWrap/>
            <w:vAlign w:val="bottom"/>
            <w:hideMark/>
          </w:tcPr>
          <w:p w14:paraId="6CAE05E8"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2227</w:t>
            </w:r>
          </w:p>
        </w:tc>
        <w:tc>
          <w:tcPr>
            <w:tcW w:w="820" w:type="dxa"/>
            <w:tcBorders>
              <w:top w:val="nil"/>
              <w:left w:val="nil"/>
              <w:bottom w:val="single" w:sz="8" w:space="0" w:color="auto"/>
              <w:right w:val="single" w:sz="4" w:space="0" w:color="auto"/>
            </w:tcBorders>
            <w:shd w:val="clear" w:color="000000" w:fill="B7DEE8"/>
            <w:noWrap/>
            <w:vAlign w:val="bottom"/>
            <w:hideMark/>
          </w:tcPr>
          <w:p w14:paraId="6B25884B"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821</w:t>
            </w:r>
          </w:p>
        </w:tc>
        <w:tc>
          <w:tcPr>
            <w:tcW w:w="760" w:type="dxa"/>
            <w:tcBorders>
              <w:top w:val="nil"/>
              <w:left w:val="nil"/>
              <w:bottom w:val="single" w:sz="8" w:space="0" w:color="auto"/>
              <w:right w:val="single" w:sz="4" w:space="0" w:color="auto"/>
            </w:tcBorders>
            <w:shd w:val="clear" w:color="000000" w:fill="B7DEE8"/>
            <w:noWrap/>
            <w:vAlign w:val="bottom"/>
            <w:hideMark/>
          </w:tcPr>
          <w:p w14:paraId="19EA9E8F" w14:textId="77777777" w:rsidR="008D497D" w:rsidRPr="002E5F86" w:rsidRDefault="008D497D" w:rsidP="00652892">
            <w:pPr>
              <w:spacing w:after="0" w:line="600" w:lineRule="auto"/>
              <w:jc w:val="right"/>
              <w:rPr>
                <w:rFonts w:ascii="Times New Roman" w:eastAsia="Times New Roman" w:hAnsi="Times New Roman" w:cs="Times New Roman"/>
                <w:color w:val="000000"/>
                <w:sz w:val="24"/>
                <w:szCs w:val="24"/>
                <w:lang w:val="en-US" w:eastAsia="en-US" w:bidi="hi-IN"/>
              </w:rPr>
            </w:pPr>
            <w:r w:rsidRPr="002E5F86">
              <w:rPr>
                <w:rFonts w:ascii="Times New Roman" w:eastAsia="Times New Roman" w:hAnsi="Times New Roman" w:cs="Times New Roman"/>
                <w:color w:val="000000"/>
                <w:sz w:val="24"/>
                <w:szCs w:val="24"/>
                <w:lang w:val="en-US" w:eastAsia="en-US" w:bidi="hi-IN"/>
              </w:rPr>
              <w:t>1731</w:t>
            </w:r>
          </w:p>
        </w:tc>
      </w:tr>
    </w:tbl>
    <w:p w14:paraId="31A1B358" w14:textId="7FD4D767" w:rsidR="001A3F5A" w:rsidRPr="002E5F86" w:rsidRDefault="001A3F5A" w:rsidP="00652892">
      <w:pPr>
        <w:spacing w:after="60" w:line="600" w:lineRule="auto"/>
        <w:jc w:val="both"/>
        <w:rPr>
          <w:rFonts w:ascii="Times New Roman" w:hAnsi="Times New Roman" w:cs="Times New Roman"/>
          <w:sz w:val="24"/>
          <w:szCs w:val="24"/>
        </w:rPr>
      </w:pPr>
    </w:p>
    <w:p w14:paraId="236A1335" w14:textId="77777777" w:rsidR="001A3F5A" w:rsidRPr="002E5F86" w:rsidRDefault="001A3F5A" w:rsidP="00652892">
      <w:pPr>
        <w:spacing w:after="60" w:line="600" w:lineRule="auto"/>
        <w:jc w:val="both"/>
        <w:rPr>
          <w:rFonts w:ascii="Times New Roman" w:hAnsi="Times New Roman" w:cs="Times New Roman"/>
          <w:b/>
          <w:sz w:val="24"/>
          <w:szCs w:val="24"/>
        </w:rPr>
      </w:pPr>
    </w:p>
    <w:p w14:paraId="376FA2BC" w14:textId="77777777" w:rsidR="00A94A19" w:rsidRPr="002E5F86" w:rsidRDefault="00A94A19"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b/>
          <w:sz w:val="24"/>
          <w:szCs w:val="24"/>
        </w:rPr>
        <w:t xml:space="preserve">Appendix </w:t>
      </w:r>
      <w:r w:rsidR="001A3F5A" w:rsidRPr="002E5F86">
        <w:rPr>
          <w:rFonts w:ascii="Times New Roman" w:hAnsi="Times New Roman" w:cs="Times New Roman"/>
          <w:b/>
          <w:sz w:val="24"/>
          <w:szCs w:val="24"/>
        </w:rPr>
        <w:t>9</w:t>
      </w:r>
    </w:p>
    <w:p w14:paraId="6C687A51" w14:textId="10B582B8" w:rsidR="008014DF" w:rsidRPr="002E5F86" w:rsidRDefault="008014DF" w:rsidP="00652892">
      <w:pPr>
        <w:spacing w:after="60" w:line="600" w:lineRule="auto"/>
        <w:jc w:val="both"/>
        <w:rPr>
          <w:rFonts w:ascii="Times New Roman" w:hAnsi="Times New Roman" w:cs="Times New Roman"/>
          <w:b/>
          <w:sz w:val="24"/>
          <w:szCs w:val="24"/>
        </w:rPr>
      </w:pPr>
      <w:r w:rsidRPr="002E5F86">
        <w:rPr>
          <w:rFonts w:ascii="Times New Roman" w:hAnsi="Times New Roman" w:cs="Times New Roman"/>
          <w:noProof/>
          <w:sz w:val="24"/>
          <w:szCs w:val="24"/>
          <w:lang w:val="en-US" w:eastAsia="en-US"/>
        </w:rPr>
        <w:drawing>
          <wp:inline distT="0" distB="0" distL="0" distR="0" wp14:anchorId="1E648D0F" wp14:editId="776A28A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295661" w14:textId="77777777" w:rsidR="008014DF" w:rsidRPr="002E5F86" w:rsidRDefault="008014DF" w:rsidP="00652892">
      <w:pPr>
        <w:spacing w:after="60" w:line="600" w:lineRule="auto"/>
        <w:jc w:val="both"/>
        <w:rPr>
          <w:rFonts w:ascii="Times New Roman" w:hAnsi="Times New Roman" w:cs="Times New Roman"/>
          <w:b/>
          <w:sz w:val="24"/>
          <w:szCs w:val="24"/>
        </w:rPr>
      </w:pPr>
    </w:p>
    <w:p w14:paraId="50C2CEE7" w14:textId="61B0303C" w:rsidR="00A94A19" w:rsidRPr="002E5F86" w:rsidRDefault="00A94A19" w:rsidP="00652892">
      <w:pPr>
        <w:spacing w:after="60" w:line="600" w:lineRule="auto"/>
        <w:jc w:val="both"/>
        <w:rPr>
          <w:rFonts w:ascii="Times New Roman" w:hAnsi="Times New Roman" w:cs="Times New Roman"/>
          <w:sz w:val="24"/>
          <w:szCs w:val="24"/>
        </w:rPr>
      </w:pPr>
    </w:p>
    <w:p w14:paraId="5C884E21" w14:textId="77777777" w:rsidR="00A94A19" w:rsidRPr="002E5F86" w:rsidRDefault="00A94A19" w:rsidP="00652892">
      <w:pPr>
        <w:spacing w:after="60" w:line="600" w:lineRule="auto"/>
        <w:jc w:val="both"/>
        <w:rPr>
          <w:rFonts w:ascii="Times New Roman" w:hAnsi="Times New Roman" w:cs="Times New Roman"/>
          <w:sz w:val="24"/>
          <w:szCs w:val="24"/>
        </w:rPr>
      </w:pPr>
    </w:p>
    <w:p w14:paraId="742A3C80" w14:textId="77777777" w:rsidR="008571F9" w:rsidRPr="002E5F86" w:rsidRDefault="008571F9" w:rsidP="00652892">
      <w:pPr>
        <w:spacing w:after="60" w:line="600" w:lineRule="auto"/>
        <w:jc w:val="both"/>
        <w:rPr>
          <w:rFonts w:ascii="Times New Roman" w:hAnsi="Times New Roman" w:cs="Times New Roman"/>
          <w:sz w:val="24"/>
          <w:szCs w:val="24"/>
        </w:rPr>
      </w:pPr>
    </w:p>
    <w:p w14:paraId="135FE5A7" w14:textId="77777777" w:rsidR="008571F9" w:rsidRPr="002E5F86" w:rsidRDefault="008571F9" w:rsidP="00652892">
      <w:pPr>
        <w:spacing w:after="60" w:line="600" w:lineRule="auto"/>
        <w:jc w:val="both"/>
        <w:rPr>
          <w:rFonts w:ascii="Times New Roman" w:hAnsi="Times New Roman" w:cs="Times New Roman"/>
          <w:sz w:val="24"/>
          <w:szCs w:val="24"/>
        </w:rPr>
      </w:pPr>
    </w:p>
    <w:p w14:paraId="60F9E18D" w14:textId="77777777" w:rsidR="008571F9" w:rsidRPr="002E5F86" w:rsidRDefault="008571F9" w:rsidP="00652892">
      <w:pPr>
        <w:spacing w:after="60" w:line="600" w:lineRule="auto"/>
        <w:jc w:val="both"/>
        <w:rPr>
          <w:rFonts w:ascii="Times New Roman" w:hAnsi="Times New Roman" w:cs="Times New Roman"/>
          <w:sz w:val="24"/>
          <w:szCs w:val="24"/>
        </w:rPr>
      </w:pPr>
    </w:p>
    <w:p w14:paraId="6D4ECCAA" w14:textId="77777777" w:rsidR="008571F9" w:rsidRPr="002E5F86" w:rsidRDefault="008571F9" w:rsidP="00652892">
      <w:pPr>
        <w:spacing w:after="60" w:line="600" w:lineRule="auto"/>
        <w:jc w:val="both"/>
        <w:rPr>
          <w:rFonts w:ascii="Times New Roman" w:hAnsi="Times New Roman" w:cs="Times New Roman"/>
          <w:sz w:val="24"/>
          <w:szCs w:val="24"/>
        </w:rPr>
      </w:pPr>
    </w:p>
    <w:p w14:paraId="030E8BEC" w14:textId="77777777" w:rsidR="008571F9" w:rsidRPr="002E5F86" w:rsidRDefault="008571F9" w:rsidP="00652892">
      <w:pPr>
        <w:spacing w:after="60" w:line="600" w:lineRule="auto"/>
        <w:jc w:val="both"/>
        <w:rPr>
          <w:rFonts w:ascii="Times New Roman" w:hAnsi="Times New Roman" w:cs="Times New Roman"/>
          <w:sz w:val="24"/>
          <w:szCs w:val="24"/>
        </w:rPr>
      </w:pPr>
    </w:p>
    <w:p w14:paraId="601AA171" w14:textId="77777777" w:rsidR="008571F9" w:rsidRPr="002E5F86" w:rsidRDefault="008571F9" w:rsidP="00652892">
      <w:pPr>
        <w:spacing w:after="60" w:line="600" w:lineRule="auto"/>
        <w:jc w:val="both"/>
        <w:rPr>
          <w:rFonts w:ascii="Times New Roman" w:hAnsi="Times New Roman" w:cs="Times New Roman"/>
          <w:sz w:val="24"/>
          <w:szCs w:val="24"/>
        </w:rPr>
      </w:pPr>
    </w:p>
    <w:p w14:paraId="78B05B8B" w14:textId="77777777" w:rsidR="008571F9" w:rsidRPr="002E5F86" w:rsidRDefault="008571F9" w:rsidP="00652892">
      <w:pPr>
        <w:spacing w:after="60" w:line="600" w:lineRule="auto"/>
        <w:jc w:val="both"/>
        <w:rPr>
          <w:rFonts w:ascii="Times New Roman" w:hAnsi="Times New Roman" w:cs="Times New Roman"/>
          <w:sz w:val="24"/>
          <w:szCs w:val="24"/>
        </w:rPr>
      </w:pPr>
    </w:p>
    <w:p w14:paraId="20B4DF21" w14:textId="77777777" w:rsidR="008571F9" w:rsidRPr="002E5F86" w:rsidRDefault="008571F9" w:rsidP="00652892">
      <w:pPr>
        <w:spacing w:after="60" w:line="600" w:lineRule="auto"/>
        <w:jc w:val="both"/>
        <w:rPr>
          <w:rFonts w:ascii="Times New Roman" w:hAnsi="Times New Roman" w:cs="Times New Roman"/>
          <w:sz w:val="24"/>
          <w:szCs w:val="24"/>
        </w:rPr>
      </w:pPr>
    </w:p>
    <w:p w14:paraId="55E0C3BD" w14:textId="77777777" w:rsidR="008571F9" w:rsidRPr="002E5F86" w:rsidRDefault="008571F9" w:rsidP="00652892">
      <w:pPr>
        <w:spacing w:after="60" w:line="600" w:lineRule="auto"/>
        <w:jc w:val="both"/>
        <w:rPr>
          <w:rFonts w:ascii="Times New Roman" w:hAnsi="Times New Roman" w:cs="Times New Roman"/>
          <w:sz w:val="24"/>
          <w:szCs w:val="24"/>
        </w:rPr>
      </w:pPr>
    </w:p>
    <w:p w14:paraId="2AC1FFD4" w14:textId="77777777" w:rsidR="008571F9" w:rsidRPr="002E5F86" w:rsidRDefault="008571F9" w:rsidP="00652892">
      <w:pPr>
        <w:spacing w:after="60" w:line="600" w:lineRule="auto"/>
        <w:jc w:val="both"/>
        <w:rPr>
          <w:rFonts w:ascii="Times New Roman" w:hAnsi="Times New Roman" w:cs="Times New Roman"/>
          <w:sz w:val="24"/>
          <w:szCs w:val="24"/>
        </w:rPr>
      </w:pPr>
    </w:p>
    <w:p w14:paraId="6F803D82" w14:textId="77777777" w:rsidR="008571F9" w:rsidRPr="002E5F86" w:rsidRDefault="008571F9" w:rsidP="00652892">
      <w:pPr>
        <w:spacing w:after="60" w:line="600" w:lineRule="auto"/>
        <w:jc w:val="both"/>
        <w:rPr>
          <w:rFonts w:ascii="Times New Roman" w:hAnsi="Times New Roman" w:cs="Times New Roman"/>
          <w:sz w:val="24"/>
          <w:szCs w:val="24"/>
        </w:rPr>
      </w:pPr>
    </w:p>
    <w:p w14:paraId="25C487BC" w14:textId="77777777" w:rsidR="008571F9" w:rsidRPr="002E5F86" w:rsidRDefault="008571F9" w:rsidP="00652892">
      <w:pPr>
        <w:spacing w:after="60" w:line="600" w:lineRule="auto"/>
        <w:jc w:val="both"/>
        <w:rPr>
          <w:rFonts w:ascii="Times New Roman" w:hAnsi="Times New Roman" w:cs="Times New Roman"/>
          <w:sz w:val="24"/>
          <w:szCs w:val="24"/>
        </w:rPr>
      </w:pPr>
    </w:p>
    <w:p w14:paraId="5B0C8536" w14:textId="77777777" w:rsidR="008571F9" w:rsidRPr="002E5F86" w:rsidRDefault="008571F9" w:rsidP="00652892">
      <w:pPr>
        <w:spacing w:after="60" w:line="600" w:lineRule="auto"/>
        <w:jc w:val="both"/>
        <w:rPr>
          <w:rFonts w:ascii="Times New Roman" w:hAnsi="Times New Roman" w:cs="Times New Roman"/>
          <w:sz w:val="24"/>
          <w:szCs w:val="24"/>
        </w:rPr>
      </w:pPr>
    </w:p>
    <w:sectPr w:rsidR="008571F9" w:rsidRPr="002E5F86" w:rsidSect="0074498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3414" w14:textId="77777777" w:rsidR="004B757C" w:rsidRDefault="004B757C" w:rsidP="00603687">
      <w:pPr>
        <w:spacing w:after="0" w:line="240" w:lineRule="auto"/>
      </w:pPr>
      <w:r>
        <w:separator/>
      </w:r>
    </w:p>
  </w:endnote>
  <w:endnote w:type="continuationSeparator" w:id="0">
    <w:p w14:paraId="77374F96" w14:textId="77777777" w:rsidR="004B757C" w:rsidRDefault="004B757C" w:rsidP="0060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93E2" w14:textId="77777777" w:rsidR="00603687" w:rsidRDefault="00603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59FD" w14:textId="77777777" w:rsidR="00603687" w:rsidRDefault="00603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B329" w14:textId="77777777" w:rsidR="00603687" w:rsidRDefault="0060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673C9" w14:textId="77777777" w:rsidR="004B757C" w:rsidRDefault="004B757C" w:rsidP="00603687">
      <w:pPr>
        <w:spacing w:after="0" w:line="240" w:lineRule="auto"/>
      </w:pPr>
      <w:r>
        <w:separator/>
      </w:r>
    </w:p>
  </w:footnote>
  <w:footnote w:type="continuationSeparator" w:id="0">
    <w:p w14:paraId="025BC821" w14:textId="77777777" w:rsidR="004B757C" w:rsidRDefault="004B757C" w:rsidP="0060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C775" w14:textId="0EACD79A" w:rsidR="00603687" w:rsidRDefault="00C07EB8">
    <w:pPr>
      <w:pStyle w:val="Header"/>
    </w:pPr>
    <w:r>
      <w:rPr>
        <w:noProof/>
        <w:lang w:val="en-US" w:eastAsia="en-US"/>
      </w:rPr>
      <w:pict w14:anchorId="17D7E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172" o:spid="_x0000_s2053" type="#_x0000_t75" style="position:absolute;margin-left:0;margin-top:0;width:453.45pt;height:117.45pt;z-index:-251657216;mso-position-horizontal:center;mso-position-horizontal-relative:margin;mso-position-vertical:center;mso-position-vertical-relative:margin" o:allowincell="f">
          <v:imagedata r:id="rId1" o:title="OAE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E411" w14:textId="51832A7B" w:rsidR="00603687" w:rsidRDefault="00C07EB8">
    <w:pPr>
      <w:pStyle w:val="Header"/>
    </w:pPr>
    <w:r>
      <w:rPr>
        <w:noProof/>
        <w:lang w:val="en-US" w:eastAsia="en-US"/>
      </w:rPr>
      <w:pict w14:anchorId="30019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173" o:spid="_x0000_s2054" type="#_x0000_t75" style="position:absolute;margin-left:0;margin-top:0;width:453.45pt;height:117.45pt;z-index:-251656192;mso-position-horizontal:center;mso-position-horizontal-relative:margin;mso-position-vertical:center;mso-position-vertical-relative:margin" o:allowincell="f">
          <v:imagedata r:id="rId1" o:title="OAE_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9B40" w14:textId="0691B1B0" w:rsidR="00603687" w:rsidRDefault="00C07EB8">
    <w:pPr>
      <w:pStyle w:val="Header"/>
    </w:pPr>
    <w:r>
      <w:rPr>
        <w:noProof/>
        <w:lang w:val="en-US" w:eastAsia="en-US"/>
      </w:rPr>
      <w:pict w14:anchorId="1E5A7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69171" o:spid="_x0000_s2052" type="#_x0000_t75" style="position:absolute;margin-left:0;margin-top:0;width:453.45pt;height:117.45pt;z-index:-251658240;mso-position-horizontal:center;mso-position-horizontal-relative:margin;mso-position-vertical:center;mso-position-vertical-relative:margin" o:allowincell="f">
          <v:imagedata r:id="rId1" o:title="OAE_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C76"/>
    <w:multiLevelType w:val="hybridMultilevel"/>
    <w:tmpl w:val="1C5E827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B2EC1"/>
    <w:multiLevelType w:val="hybridMultilevel"/>
    <w:tmpl w:val="04B0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B1243"/>
    <w:multiLevelType w:val="hybridMultilevel"/>
    <w:tmpl w:val="9BD4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12738"/>
    <w:multiLevelType w:val="hybridMultilevel"/>
    <w:tmpl w:val="A60458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EA"/>
    <w:rsid w:val="0001008E"/>
    <w:rsid w:val="00014915"/>
    <w:rsid w:val="00014D0B"/>
    <w:rsid w:val="000223CE"/>
    <w:rsid w:val="00022FDB"/>
    <w:rsid w:val="00031DBB"/>
    <w:rsid w:val="00036AB9"/>
    <w:rsid w:val="00042261"/>
    <w:rsid w:val="00061E8A"/>
    <w:rsid w:val="000649F2"/>
    <w:rsid w:val="00064FDD"/>
    <w:rsid w:val="00067B40"/>
    <w:rsid w:val="00067BAC"/>
    <w:rsid w:val="0007205C"/>
    <w:rsid w:val="00076FC0"/>
    <w:rsid w:val="00096DA9"/>
    <w:rsid w:val="000A04B1"/>
    <w:rsid w:val="000A5836"/>
    <w:rsid w:val="000A7F5C"/>
    <w:rsid w:val="000B3911"/>
    <w:rsid w:val="000C00CA"/>
    <w:rsid w:val="000C332F"/>
    <w:rsid w:val="000C4617"/>
    <w:rsid w:val="000C4B01"/>
    <w:rsid w:val="000C659F"/>
    <w:rsid w:val="000D1310"/>
    <w:rsid w:val="000D1895"/>
    <w:rsid w:val="000E3EF1"/>
    <w:rsid w:val="000F7013"/>
    <w:rsid w:val="00102074"/>
    <w:rsid w:val="00105C42"/>
    <w:rsid w:val="00110D9C"/>
    <w:rsid w:val="001150BE"/>
    <w:rsid w:val="00125CFA"/>
    <w:rsid w:val="00125E38"/>
    <w:rsid w:val="00126EBF"/>
    <w:rsid w:val="001338D1"/>
    <w:rsid w:val="00134B53"/>
    <w:rsid w:val="0014048B"/>
    <w:rsid w:val="001446C0"/>
    <w:rsid w:val="00145273"/>
    <w:rsid w:val="00145874"/>
    <w:rsid w:val="00147EDC"/>
    <w:rsid w:val="0015253B"/>
    <w:rsid w:val="001550BE"/>
    <w:rsid w:val="00156DDA"/>
    <w:rsid w:val="00157829"/>
    <w:rsid w:val="00182A12"/>
    <w:rsid w:val="00186042"/>
    <w:rsid w:val="001916B2"/>
    <w:rsid w:val="0019343E"/>
    <w:rsid w:val="00194790"/>
    <w:rsid w:val="00194D7D"/>
    <w:rsid w:val="001A2218"/>
    <w:rsid w:val="001A3F5A"/>
    <w:rsid w:val="001A708B"/>
    <w:rsid w:val="001A7D46"/>
    <w:rsid w:val="001C0FF0"/>
    <w:rsid w:val="001F66B9"/>
    <w:rsid w:val="00200D89"/>
    <w:rsid w:val="00202B0F"/>
    <w:rsid w:val="002034DA"/>
    <w:rsid w:val="00227647"/>
    <w:rsid w:val="00232893"/>
    <w:rsid w:val="00240F58"/>
    <w:rsid w:val="002443A8"/>
    <w:rsid w:val="0024524F"/>
    <w:rsid w:val="00253916"/>
    <w:rsid w:val="002564C2"/>
    <w:rsid w:val="00282D5C"/>
    <w:rsid w:val="002938F8"/>
    <w:rsid w:val="00295928"/>
    <w:rsid w:val="002A1080"/>
    <w:rsid w:val="002A6469"/>
    <w:rsid w:val="002A7EA8"/>
    <w:rsid w:val="002B059B"/>
    <w:rsid w:val="002B6572"/>
    <w:rsid w:val="002B766D"/>
    <w:rsid w:val="002C4CD7"/>
    <w:rsid w:val="002C568B"/>
    <w:rsid w:val="002D5A8E"/>
    <w:rsid w:val="002E4A1A"/>
    <w:rsid w:val="002E5F86"/>
    <w:rsid w:val="002E64FA"/>
    <w:rsid w:val="00304099"/>
    <w:rsid w:val="003050F7"/>
    <w:rsid w:val="00313718"/>
    <w:rsid w:val="003141A5"/>
    <w:rsid w:val="00332A27"/>
    <w:rsid w:val="003339DB"/>
    <w:rsid w:val="00340567"/>
    <w:rsid w:val="003425D4"/>
    <w:rsid w:val="00342FD3"/>
    <w:rsid w:val="00355C2B"/>
    <w:rsid w:val="00356CE2"/>
    <w:rsid w:val="00357106"/>
    <w:rsid w:val="00364551"/>
    <w:rsid w:val="0038201E"/>
    <w:rsid w:val="003852F8"/>
    <w:rsid w:val="00386477"/>
    <w:rsid w:val="003960D2"/>
    <w:rsid w:val="003A737C"/>
    <w:rsid w:val="003B07EA"/>
    <w:rsid w:val="003B5050"/>
    <w:rsid w:val="003B5640"/>
    <w:rsid w:val="003B5C15"/>
    <w:rsid w:val="003C11B9"/>
    <w:rsid w:val="003C234A"/>
    <w:rsid w:val="003C294D"/>
    <w:rsid w:val="003C29FA"/>
    <w:rsid w:val="003C553C"/>
    <w:rsid w:val="003D3AD3"/>
    <w:rsid w:val="003D6B32"/>
    <w:rsid w:val="003D71B0"/>
    <w:rsid w:val="003E4532"/>
    <w:rsid w:val="003E7282"/>
    <w:rsid w:val="003F1144"/>
    <w:rsid w:val="003F196C"/>
    <w:rsid w:val="003F4AA2"/>
    <w:rsid w:val="003F7841"/>
    <w:rsid w:val="00401F44"/>
    <w:rsid w:val="004020FE"/>
    <w:rsid w:val="00404384"/>
    <w:rsid w:val="00404A71"/>
    <w:rsid w:val="004063B3"/>
    <w:rsid w:val="00421828"/>
    <w:rsid w:val="004228B0"/>
    <w:rsid w:val="00426B85"/>
    <w:rsid w:val="0043097B"/>
    <w:rsid w:val="00432586"/>
    <w:rsid w:val="00432FD4"/>
    <w:rsid w:val="0044050F"/>
    <w:rsid w:val="00441FC3"/>
    <w:rsid w:val="00443E90"/>
    <w:rsid w:val="00445872"/>
    <w:rsid w:val="00452C0F"/>
    <w:rsid w:val="00455620"/>
    <w:rsid w:val="00460E7F"/>
    <w:rsid w:val="004709C8"/>
    <w:rsid w:val="0047574B"/>
    <w:rsid w:val="004834D6"/>
    <w:rsid w:val="00487F1B"/>
    <w:rsid w:val="00493633"/>
    <w:rsid w:val="0049405C"/>
    <w:rsid w:val="004A1FD2"/>
    <w:rsid w:val="004B13B2"/>
    <w:rsid w:val="004B757C"/>
    <w:rsid w:val="004D2A94"/>
    <w:rsid w:val="004D6997"/>
    <w:rsid w:val="004E4400"/>
    <w:rsid w:val="004F5C77"/>
    <w:rsid w:val="004F5F73"/>
    <w:rsid w:val="00504BA8"/>
    <w:rsid w:val="00505409"/>
    <w:rsid w:val="0051321B"/>
    <w:rsid w:val="00535BA9"/>
    <w:rsid w:val="005425A0"/>
    <w:rsid w:val="00556158"/>
    <w:rsid w:val="00556380"/>
    <w:rsid w:val="00566B6C"/>
    <w:rsid w:val="00567294"/>
    <w:rsid w:val="00570C9D"/>
    <w:rsid w:val="005720CC"/>
    <w:rsid w:val="00574ECF"/>
    <w:rsid w:val="00592C8D"/>
    <w:rsid w:val="005A6B82"/>
    <w:rsid w:val="005B04EE"/>
    <w:rsid w:val="005B5898"/>
    <w:rsid w:val="005C0FB4"/>
    <w:rsid w:val="005C4164"/>
    <w:rsid w:val="005C499C"/>
    <w:rsid w:val="005C603A"/>
    <w:rsid w:val="005D1AEA"/>
    <w:rsid w:val="005D2581"/>
    <w:rsid w:val="005D32F1"/>
    <w:rsid w:val="005E2753"/>
    <w:rsid w:val="005E3D9B"/>
    <w:rsid w:val="005F27BB"/>
    <w:rsid w:val="00603687"/>
    <w:rsid w:val="006044CC"/>
    <w:rsid w:val="00605DF4"/>
    <w:rsid w:val="006076F0"/>
    <w:rsid w:val="00615A8D"/>
    <w:rsid w:val="00617D92"/>
    <w:rsid w:val="00617DAC"/>
    <w:rsid w:val="0062297F"/>
    <w:rsid w:val="0063359A"/>
    <w:rsid w:val="00646BFB"/>
    <w:rsid w:val="006475DE"/>
    <w:rsid w:val="00652892"/>
    <w:rsid w:val="00657C13"/>
    <w:rsid w:val="00661A08"/>
    <w:rsid w:val="00666CE6"/>
    <w:rsid w:val="006701E2"/>
    <w:rsid w:val="00671CB5"/>
    <w:rsid w:val="00674EC3"/>
    <w:rsid w:val="0068290C"/>
    <w:rsid w:val="00691228"/>
    <w:rsid w:val="006915AF"/>
    <w:rsid w:val="006958E3"/>
    <w:rsid w:val="006A15BA"/>
    <w:rsid w:val="006B1CAA"/>
    <w:rsid w:val="006B3390"/>
    <w:rsid w:val="006B6A65"/>
    <w:rsid w:val="006C02A0"/>
    <w:rsid w:val="006C6F71"/>
    <w:rsid w:val="006D640C"/>
    <w:rsid w:val="006D7D38"/>
    <w:rsid w:val="006E0696"/>
    <w:rsid w:val="006E0CF6"/>
    <w:rsid w:val="006E29D7"/>
    <w:rsid w:val="006E34FE"/>
    <w:rsid w:val="006E3962"/>
    <w:rsid w:val="006F26F4"/>
    <w:rsid w:val="00704533"/>
    <w:rsid w:val="00705C5F"/>
    <w:rsid w:val="00706EF5"/>
    <w:rsid w:val="00713F63"/>
    <w:rsid w:val="0072154F"/>
    <w:rsid w:val="007240CC"/>
    <w:rsid w:val="00727557"/>
    <w:rsid w:val="00727C61"/>
    <w:rsid w:val="00730D0B"/>
    <w:rsid w:val="00740F2E"/>
    <w:rsid w:val="0074498D"/>
    <w:rsid w:val="00753B83"/>
    <w:rsid w:val="00756875"/>
    <w:rsid w:val="0076063B"/>
    <w:rsid w:val="00761155"/>
    <w:rsid w:val="00762523"/>
    <w:rsid w:val="00766FE0"/>
    <w:rsid w:val="00767FF3"/>
    <w:rsid w:val="00771674"/>
    <w:rsid w:val="0077457A"/>
    <w:rsid w:val="00786AC3"/>
    <w:rsid w:val="007B696D"/>
    <w:rsid w:val="007C034F"/>
    <w:rsid w:val="007C5D7C"/>
    <w:rsid w:val="007D4564"/>
    <w:rsid w:val="007D51A6"/>
    <w:rsid w:val="007F039A"/>
    <w:rsid w:val="007F0E8A"/>
    <w:rsid w:val="007F3129"/>
    <w:rsid w:val="008014DF"/>
    <w:rsid w:val="00806124"/>
    <w:rsid w:val="00821778"/>
    <w:rsid w:val="008273FD"/>
    <w:rsid w:val="008307AE"/>
    <w:rsid w:val="008336A8"/>
    <w:rsid w:val="00845377"/>
    <w:rsid w:val="00851F0F"/>
    <w:rsid w:val="008570DC"/>
    <w:rsid w:val="008571F9"/>
    <w:rsid w:val="0086288E"/>
    <w:rsid w:val="008714A8"/>
    <w:rsid w:val="008862E1"/>
    <w:rsid w:val="008A1767"/>
    <w:rsid w:val="008A1EA1"/>
    <w:rsid w:val="008A6475"/>
    <w:rsid w:val="008A714E"/>
    <w:rsid w:val="008A7653"/>
    <w:rsid w:val="008C2526"/>
    <w:rsid w:val="008C2A07"/>
    <w:rsid w:val="008C38FD"/>
    <w:rsid w:val="008D33E6"/>
    <w:rsid w:val="008D497D"/>
    <w:rsid w:val="008E1B97"/>
    <w:rsid w:val="008E45B8"/>
    <w:rsid w:val="008F108C"/>
    <w:rsid w:val="008F32F1"/>
    <w:rsid w:val="009061B7"/>
    <w:rsid w:val="009104AD"/>
    <w:rsid w:val="0091511D"/>
    <w:rsid w:val="009246DB"/>
    <w:rsid w:val="00924B24"/>
    <w:rsid w:val="00924B61"/>
    <w:rsid w:val="00932EDF"/>
    <w:rsid w:val="00936758"/>
    <w:rsid w:val="00941EE8"/>
    <w:rsid w:val="00954263"/>
    <w:rsid w:val="00966533"/>
    <w:rsid w:val="009665CD"/>
    <w:rsid w:val="009708AD"/>
    <w:rsid w:val="00971EAA"/>
    <w:rsid w:val="00973197"/>
    <w:rsid w:val="00990D11"/>
    <w:rsid w:val="0099536F"/>
    <w:rsid w:val="00997A01"/>
    <w:rsid w:val="009A33F6"/>
    <w:rsid w:val="009A6967"/>
    <w:rsid w:val="009B665E"/>
    <w:rsid w:val="009D72C9"/>
    <w:rsid w:val="009D7D8F"/>
    <w:rsid w:val="009E17BF"/>
    <w:rsid w:val="009E1C71"/>
    <w:rsid w:val="009F1D1E"/>
    <w:rsid w:val="009F51D2"/>
    <w:rsid w:val="00A0622A"/>
    <w:rsid w:val="00A06E3E"/>
    <w:rsid w:val="00A11E82"/>
    <w:rsid w:val="00A13DF3"/>
    <w:rsid w:val="00A20488"/>
    <w:rsid w:val="00A2595C"/>
    <w:rsid w:val="00A27B80"/>
    <w:rsid w:val="00A37040"/>
    <w:rsid w:val="00A404DF"/>
    <w:rsid w:val="00A50AB4"/>
    <w:rsid w:val="00A603F2"/>
    <w:rsid w:val="00A62B32"/>
    <w:rsid w:val="00A62FAA"/>
    <w:rsid w:val="00A66E8A"/>
    <w:rsid w:val="00A72FB4"/>
    <w:rsid w:val="00A7772F"/>
    <w:rsid w:val="00A81CC9"/>
    <w:rsid w:val="00A81CD2"/>
    <w:rsid w:val="00A834CE"/>
    <w:rsid w:val="00A86AA8"/>
    <w:rsid w:val="00A94A19"/>
    <w:rsid w:val="00A9532E"/>
    <w:rsid w:val="00AA608E"/>
    <w:rsid w:val="00AA707D"/>
    <w:rsid w:val="00AB0653"/>
    <w:rsid w:val="00AB0E2E"/>
    <w:rsid w:val="00AB5C6D"/>
    <w:rsid w:val="00AC1380"/>
    <w:rsid w:val="00AC4425"/>
    <w:rsid w:val="00AD6089"/>
    <w:rsid w:val="00AE1FDB"/>
    <w:rsid w:val="00AE51BD"/>
    <w:rsid w:val="00AE5B96"/>
    <w:rsid w:val="00AE5FDA"/>
    <w:rsid w:val="00AF4875"/>
    <w:rsid w:val="00AF5814"/>
    <w:rsid w:val="00AF5F6D"/>
    <w:rsid w:val="00AF7A4C"/>
    <w:rsid w:val="00B1048C"/>
    <w:rsid w:val="00B26181"/>
    <w:rsid w:val="00B3017F"/>
    <w:rsid w:val="00B411B9"/>
    <w:rsid w:val="00B60291"/>
    <w:rsid w:val="00B646B8"/>
    <w:rsid w:val="00B64FEE"/>
    <w:rsid w:val="00B701BD"/>
    <w:rsid w:val="00B72BA1"/>
    <w:rsid w:val="00B94759"/>
    <w:rsid w:val="00BA6558"/>
    <w:rsid w:val="00BB3354"/>
    <w:rsid w:val="00BB370D"/>
    <w:rsid w:val="00BB41D7"/>
    <w:rsid w:val="00BB5319"/>
    <w:rsid w:val="00BB7F45"/>
    <w:rsid w:val="00BC181A"/>
    <w:rsid w:val="00BC4EEB"/>
    <w:rsid w:val="00BD2402"/>
    <w:rsid w:val="00BF5E3C"/>
    <w:rsid w:val="00BF7F03"/>
    <w:rsid w:val="00C042C0"/>
    <w:rsid w:val="00C045E5"/>
    <w:rsid w:val="00C05E3D"/>
    <w:rsid w:val="00C07EB8"/>
    <w:rsid w:val="00C133B6"/>
    <w:rsid w:val="00C20E58"/>
    <w:rsid w:val="00C261B6"/>
    <w:rsid w:val="00C366C7"/>
    <w:rsid w:val="00C425C5"/>
    <w:rsid w:val="00C524BC"/>
    <w:rsid w:val="00C54D0F"/>
    <w:rsid w:val="00C560C6"/>
    <w:rsid w:val="00C6139F"/>
    <w:rsid w:val="00C75A5B"/>
    <w:rsid w:val="00C84544"/>
    <w:rsid w:val="00C9173F"/>
    <w:rsid w:val="00C9597A"/>
    <w:rsid w:val="00CA3DF4"/>
    <w:rsid w:val="00CC0FB2"/>
    <w:rsid w:val="00CD6B6D"/>
    <w:rsid w:val="00CE16BC"/>
    <w:rsid w:val="00CE3534"/>
    <w:rsid w:val="00CF064B"/>
    <w:rsid w:val="00CF25A7"/>
    <w:rsid w:val="00CF302B"/>
    <w:rsid w:val="00D07089"/>
    <w:rsid w:val="00D21AB1"/>
    <w:rsid w:val="00D22BD6"/>
    <w:rsid w:val="00D262EF"/>
    <w:rsid w:val="00D3077C"/>
    <w:rsid w:val="00D31E6A"/>
    <w:rsid w:val="00D354E6"/>
    <w:rsid w:val="00D35B90"/>
    <w:rsid w:val="00D36E2D"/>
    <w:rsid w:val="00D53A3F"/>
    <w:rsid w:val="00D5605E"/>
    <w:rsid w:val="00D6131E"/>
    <w:rsid w:val="00D745E6"/>
    <w:rsid w:val="00D81432"/>
    <w:rsid w:val="00D84D01"/>
    <w:rsid w:val="00D97A42"/>
    <w:rsid w:val="00DA1636"/>
    <w:rsid w:val="00DB112C"/>
    <w:rsid w:val="00DC0069"/>
    <w:rsid w:val="00DC1477"/>
    <w:rsid w:val="00DC5D5D"/>
    <w:rsid w:val="00DD2B6F"/>
    <w:rsid w:val="00DD4587"/>
    <w:rsid w:val="00DD68AB"/>
    <w:rsid w:val="00DE1C36"/>
    <w:rsid w:val="00DF607D"/>
    <w:rsid w:val="00E01806"/>
    <w:rsid w:val="00E01D0F"/>
    <w:rsid w:val="00E21BDF"/>
    <w:rsid w:val="00E31450"/>
    <w:rsid w:val="00E318F0"/>
    <w:rsid w:val="00E32200"/>
    <w:rsid w:val="00E33388"/>
    <w:rsid w:val="00E56FDF"/>
    <w:rsid w:val="00E66694"/>
    <w:rsid w:val="00E84856"/>
    <w:rsid w:val="00E8778C"/>
    <w:rsid w:val="00EA7ED3"/>
    <w:rsid w:val="00EB2504"/>
    <w:rsid w:val="00EB2F88"/>
    <w:rsid w:val="00EC1B96"/>
    <w:rsid w:val="00EC2B12"/>
    <w:rsid w:val="00EC6D6A"/>
    <w:rsid w:val="00EC7DC2"/>
    <w:rsid w:val="00ED09D8"/>
    <w:rsid w:val="00EE258D"/>
    <w:rsid w:val="00EE670E"/>
    <w:rsid w:val="00EF3C73"/>
    <w:rsid w:val="00F06C49"/>
    <w:rsid w:val="00F1257E"/>
    <w:rsid w:val="00F155E0"/>
    <w:rsid w:val="00F17BD9"/>
    <w:rsid w:val="00F25488"/>
    <w:rsid w:val="00F258AC"/>
    <w:rsid w:val="00F25EA6"/>
    <w:rsid w:val="00F26B7C"/>
    <w:rsid w:val="00F32C62"/>
    <w:rsid w:val="00F360E9"/>
    <w:rsid w:val="00F42ABE"/>
    <w:rsid w:val="00F65CE3"/>
    <w:rsid w:val="00F6774E"/>
    <w:rsid w:val="00F86B8F"/>
    <w:rsid w:val="00F876F3"/>
    <w:rsid w:val="00F87C88"/>
    <w:rsid w:val="00F93E0C"/>
    <w:rsid w:val="00F94E26"/>
    <w:rsid w:val="00F965EA"/>
    <w:rsid w:val="00F9681D"/>
    <w:rsid w:val="00FA0D72"/>
    <w:rsid w:val="00FA3C67"/>
    <w:rsid w:val="00FB0D7B"/>
    <w:rsid w:val="00FB5D90"/>
    <w:rsid w:val="00FC1E4D"/>
    <w:rsid w:val="00FD23FA"/>
    <w:rsid w:val="00FD3FEB"/>
    <w:rsid w:val="00FD4CBA"/>
    <w:rsid w:val="00FD5590"/>
    <w:rsid w:val="00FE7036"/>
    <w:rsid w:val="00FF340E"/>
    <w:rsid w:val="00FF6CB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F078A2"/>
  <w15:docId w15:val="{B700C490-62D4-4379-BA4B-56A68E7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F6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13F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5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EA"/>
    <w:rPr>
      <w:rFonts w:ascii="Tahoma" w:hAnsi="Tahoma" w:cs="Tahoma"/>
      <w:sz w:val="16"/>
      <w:szCs w:val="16"/>
    </w:rPr>
  </w:style>
  <w:style w:type="character" w:styleId="Emphasis">
    <w:name w:val="Emphasis"/>
    <w:basedOn w:val="DefaultParagraphFont"/>
    <w:uiPriority w:val="20"/>
    <w:qFormat/>
    <w:rsid w:val="00713F63"/>
    <w:rPr>
      <w:i/>
      <w:iCs/>
    </w:rPr>
  </w:style>
  <w:style w:type="character" w:customStyle="1" w:styleId="Heading1Char">
    <w:name w:val="Heading 1 Char"/>
    <w:basedOn w:val="DefaultParagraphFont"/>
    <w:link w:val="Heading1"/>
    <w:uiPriority w:val="9"/>
    <w:rsid w:val="00713F63"/>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13F63"/>
    <w:pPr>
      <w:spacing w:after="160" w:line="259" w:lineRule="auto"/>
      <w:ind w:left="720"/>
      <w:contextualSpacing/>
    </w:pPr>
    <w:rPr>
      <w:lang w:val="en-AU"/>
    </w:rPr>
  </w:style>
  <w:style w:type="character" w:customStyle="1" w:styleId="Heading2Char">
    <w:name w:val="Heading 2 Char"/>
    <w:basedOn w:val="DefaultParagraphFont"/>
    <w:link w:val="Heading2"/>
    <w:uiPriority w:val="9"/>
    <w:rsid w:val="00713F6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1257E"/>
    <w:pPr>
      <w:spacing w:after="0" w:line="240" w:lineRule="auto"/>
    </w:pPr>
    <w:rPr>
      <w:lang w:val="en-US" w:eastAsia="en-US"/>
    </w:rPr>
  </w:style>
  <w:style w:type="character" w:customStyle="1" w:styleId="NoSpacingChar">
    <w:name w:val="No Spacing Char"/>
    <w:basedOn w:val="DefaultParagraphFont"/>
    <w:link w:val="NoSpacing"/>
    <w:uiPriority w:val="1"/>
    <w:rsid w:val="00F1257E"/>
    <w:rPr>
      <w:lang w:val="en-US" w:eastAsia="en-US"/>
    </w:rPr>
  </w:style>
  <w:style w:type="character" w:customStyle="1" w:styleId="Heading3Char">
    <w:name w:val="Heading 3 Char"/>
    <w:basedOn w:val="DefaultParagraphFont"/>
    <w:link w:val="Heading3"/>
    <w:uiPriority w:val="9"/>
    <w:rsid w:val="004F5C77"/>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AB5C6D"/>
  </w:style>
  <w:style w:type="paragraph" w:styleId="TOCHeading">
    <w:name w:val="TOC Heading"/>
    <w:basedOn w:val="Heading1"/>
    <w:next w:val="Normal"/>
    <w:uiPriority w:val="39"/>
    <w:unhideWhenUsed/>
    <w:qFormat/>
    <w:rsid w:val="003D3AD3"/>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3D3AD3"/>
    <w:pPr>
      <w:spacing w:after="100"/>
    </w:pPr>
  </w:style>
  <w:style w:type="paragraph" w:styleId="TOC2">
    <w:name w:val="toc 2"/>
    <w:basedOn w:val="Normal"/>
    <w:next w:val="Normal"/>
    <w:autoRedefine/>
    <w:uiPriority w:val="39"/>
    <w:unhideWhenUsed/>
    <w:rsid w:val="003D3AD3"/>
    <w:pPr>
      <w:spacing w:after="100"/>
      <w:ind w:left="220"/>
    </w:pPr>
  </w:style>
  <w:style w:type="paragraph" w:styleId="TOC3">
    <w:name w:val="toc 3"/>
    <w:basedOn w:val="Normal"/>
    <w:next w:val="Normal"/>
    <w:autoRedefine/>
    <w:uiPriority w:val="39"/>
    <w:unhideWhenUsed/>
    <w:rsid w:val="003D3AD3"/>
    <w:pPr>
      <w:spacing w:after="100"/>
      <w:ind w:left="440"/>
    </w:pPr>
  </w:style>
  <w:style w:type="character" w:styleId="Hyperlink">
    <w:name w:val="Hyperlink"/>
    <w:basedOn w:val="DefaultParagraphFont"/>
    <w:uiPriority w:val="99"/>
    <w:unhideWhenUsed/>
    <w:rsid w:val="003D3AD3"/>
    <w:rPr>
      <w:color w:val="0000FF" w:themeColor="hyperlink"/>
      <w:u w:val="single"/>
    </w:rPr>
  </w:style>
  <w:style w:type="paragraph" w:styleId="Header">
    <w:name w:val="header"/>
    <w:basedOn w:val="Normal"/>
    <w:link w:val="HeaderChar"/>
    <w:uiPriority w:val="99"/>
    <w:unhideWhenUsed/>
    <w:rsid w:val="00603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87"/>
  </w:style>
  <w:style w:type="paragraph" w:styleId="Footer">
    <w:name w:val="footer"/>
    <w:basedOn w:val="Normal"/>
    <w:link w:val="FooterChar"/>
    <w:uiPriority w:val="99"/>
    <w:unhideWhenUsed/>
    <w:rsid w:val="00603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360">
      <w:bodyDiv w:val="1"/>
      <w:marLeft w:val="0"/>
      <w:marRight w:val="0"/>
      <w:marTop w:val="0"/>
      <w:marBottom w:val="0"/>
      <w:divBdr>
        <w:top w:val="none" w:sz="0" w:space="0" w:color="auto"/>
        <w:left w:val="none" w:sz="0" w:space="0" w:color="auto"/>
        <w:bottom w:val="none" w:sz="0" w:space="0" w:color="auto"/>
        <w:right w:val="none" w:sz="0" w:space="0" w:color="auto"/>
      </w:divBdr>
    </w:div>
    <w:div w:id="540290303">
      <w:bodyDiv w:val="1"/>
      <w:marLeft w:val="0"/>
      <w:marRight w:val="0"/>
      <w:marTop w:val="0"/>
      <w:marBottom w:val="0"/>
      <w:divBdr>
        <w:top w:val="none" w:sz="0" w:space="0" w:color="auto"/>
        <w:left w:val="none" w:sz="0" w:space="0" w:color="auto"/>
        <w:bottom w:val="none" w:sz="0" w:space="0" w:color="auto"/>
        <w:right w:val="none" w:sz="0" w:space="0" w:color="auto"/>
      </w:divBdr>
    </w:div>
    <w:div w:id="676495047">
      <w:bodyDiv w:val="1"/>
      <w:marLeft w:val="0"/>
      <w:marRight w:val="0"/>
      <w:marTop w:val="0"/>
      <w:marBottom w:val="0"/>
      <w:divBdr>
        <w:top w:val="none" w:sz="0" w:space="0" w:color="auto"/>
        <w:left w:val="none" w:sz="0" w:space="0" w:color="auto"/>
        <w:bottom w:val="none" w:sz="0" w:space="0" w:color="auto"/>
        <w:right w:val="none" w:sz="0" w:space="0" w:color="auto"/>
      </w:divBdr>
    </w:div>
    <w:div w:id="687177323">
      <w:bodyDiv w:val="1"/>
      <w:marLeft w:val="0"/>
      <w:marRight w:val="0"/>
      <w:marTop w:val="0"/>
      <w:marBottom w:val="0"/>
      <w:divBdr>
        <w:top w:val="none" w:sz="0" w:space="0" w:color="auto"/>
        <w:left w:val="none" w:sz="0" w:space="0" w:color="auto"/>
        <w:bottom w:val="none" w:sz="0" w:space="0" w:color="auto"/>
        <w:right w:val="none" w:sz="0" w:space="0" w:color="auto"/>
      </w:divBdr>
    </w:div>
    <w:div w:id="862864073">
      <w:bodyDiv w:val="1"/>
      <w:marLeft w:val="0"/>
      <w:marRight w:val="0"/>
      <w:marTop w:val="0"/>
      <w:marBottom w:val="0"/>
      <w:divBdr>
        <w:top w:val="none" w:sz="0" w:space="0" w:color="auto"/>
        <w:left w:val="none" w:sz="0" w:space="0" w:color="auto"/>
        <w:bottom w:val="none" w:sz="0" w:space="0" w:color="auto"/>
        <w:right w:val="none" w:sz="0" w:space="0" w:color="auto"/>
      </w:divBdr>
    </w:div>
    <w:div w:id="1042287386">
      <w:bodyDiv w:val="1"/>
      <w:marLeft w:val="0"/>
      <w:marRight w:val="0"/>
      <w:marTop w:val="0"/>
      <w:marBottom w:val="0"/>
      <w:divBdr>
        <w:top w:val="none" w:sz="0" w:space="0" w:color="auto"/>
        <w:left w:val="none" w:sz="0" w:space="0" w:color="auto"/>
        <w:bottom w:val="none" w:sz="0" w:space="0" w:color="auto"/>
        <w:right w:val="none" w:sz="0" w:space="0" w:color="auto"/>
      </w:divBdr>
    </w:div>
    <w:div w:id="1077551429">
      <w:bodyDiv w:val="1"/>
      <w:marLeft w:val="0"/>
      <w:marRight w:val="0"/>
      <w:marTop w:val="0"/>
      <w:marBottom w:val="0"/>
      <w:divBdr>
        <w:top w:val="none" w:sz="0" w:space="0" w:color="auto"/>
        <w:left w:val="none" w:sz="0" w:space="0" w:color="auto"/>
        <w:bottom w:val="none" w:sz="0" w:space="0" w:color="auto"/>
        <w:right w:val="none" w:sz="0" w:space="0" w:color="auto"/>
      </w:divBdr>
    </w:div>
    <w:div w:id="1377046696">
      <w:bodyDiv w:val="1"/>
      <w:marLeft w:val="0"/>
      <w:marRight w:val="0"/>
      <w:marTop w:val="0"/>
      <w:marBottom w:val="0"/>
      <w:divBdr>
        <w:top w:val="none" w:sz="0" w:space="0" w:color="auto"/>
        <w:left w:val="none" w:sz="0" w:space="0" w:color="auto"/>
        <w:bottom w:val="none" w:sz="0" w:space="0" w:color="auto"/>
        <w:right w:val="none" w:sz="0" w:space="0" w:color="auto"/>
      </w:divBdr>
    </w:div>
    <w:div w:id="1487555276">
      <w:bodyDiv w:val="1"/>
      <w:marLeft w:val="0"/>
      <w:marRight w:val="0"/>
      <w:marTop w:val="0"/>
      <w:marBottom w:val="0"/>
      <w:divBdr>
        <w:top w:val="none" w:sz="0" w:space="0" w:color="auto"/>
        <w:left w:val="none" w:sz="0" w:space="0" w:color="auto"/>
        <w:bottom w:val="none" w:sz="0" w:space="0" w:color="auto"/>
        <w:right w:val="none" w:sz="0" w:space="0" w:color="auto"/>
      </w:divBdr>
    </w:div>
    <w:div w:id="1599872953">
      <w:bodyDiv w:val="1"/>
      <w:marLeft w:val="0"/>
      <w:marRight w:val="0"/>
      <w:marTop w:val="0"/>
      <w:marBottom w:val="0"/>
      <w:divBdr>
        <w:top w:val="none" w:sz="0" w:space="0" w:color="auto"/>
        <w:left w:val="none" w:sz="0" w:space="0" w:color="auto"/>
        <w:bottom w:val="none" w:sz="0" w:space="0" w:color="auto"/>
        <w:right w:val="none" w:sz="0" w:space="0" w:color="auto"/>
      </w:divBdr>
    </w:div>
    <w:div w:id="1770927131">
      <w:bodyDiv w:val="1"/>
      <w:marLeft w:val="0"/>
      <w:marRight w:val="0"/>
      <w:marTop w:val="0"/>
      <w:marBottom w:val="0"/>
      <w:divBdr>
        <w:top w:val="none" w:sz="0" w:space="0" w:color="auto"/>
        <w:left w:val="none" w:sz="0" w:space="0" w:color="auto"/>
        <w:bottom w:val="none" w:sz="0" w:space="0" w:color="auto"/>
        <w:right w:val="none" w:sz="0" w:space="0" w:color="auto"/>
      </w:divBdr>
    </w:div>
    <w:div w:id="1838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psf\Home\Downloads\4%20sep%20oae2019financialstatementanalysispart2\answ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sf\Home\Downloads\4%20sep%20oae2019financialstatementanalysispart2\answ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sf\Home\Downloads\4%20sep%20oae2019financialstatementanalysispart2\answ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sf\Home\Downloads\4%20sep%20oae2019financialstatementanalysispart2\answ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psf\Home\Downloads\4%20sep%20oae2019financialstatementanalysispart2\answe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Ratios!$H$3</c:f>
              <c:strCache>
                <c:ptCount val="1"/>
                <c:pt idx="0">
                  <c:v>ROE</c:v>
                </c:pt>
              </c:strCache>
            </c:strRef>
          </c:tx>
          <c:spPr>
            <a:ln w="28575" cap="rnd">
              <a:solidFill>
                <a:schemeClr val="accent1"/>
              </a:solidFill>
              <a:round/>
            </a:ln>
            <a:effectLst/>
          </c:spPr>
          <c:marker>
            <c:symbol val="none"/>
          </c:marker>
          <c:cat>
            <c:numRef>
              <c:f>Ratios!$I$2:$K$2</c:f>
              <c:numCache>
                <c:formatCode>General</c:formatCode>
                <c:ptCount val="3"/>
                <c:pt idx="0">
                  <c:v>2013</c:v>
                </c:pt>
                <c:pt idx="1">
                  <c:v>2014</c:v>
                </c:pt>
                <c:pt idx="2">
                  <c:v>2015</c:v>
                </c:pt>
              </c:numCache>
            </c:numRef>
          </c:cat>
          <c:val>
            <c:numRef>
              <c:f>Ratios!$I$3:$K$3</c:f>
              <c:numCache>
                <c:formatCode>0.00%</c:formatCode>
                <c:ptCount val="3"/>
                <c:pt idx="0">
                  <c:v>0.78284901630526482</c:v>
                </c:pt>
                <c:pt idx="1">
                  <c:v>0.5954111409455165</c:v>
                </c:pt>
                <c:pt idx="2">
                  <c:v>0.48594319583000278</c:v>
                </c:pt>
              </c:numCache>
            </c:numRef>
          </c:val>
          <c:smooth val="0"/>
        </c:ser>
        <c:dLbls>
          <c:showLegendKey val="0"/>
          <c:showVal val="0"/>
          <c:showCatName val="0"/>
          <c:showSerName val="0"/>
          <c:showPercent val="0"/>
          <c:showBubbleSize val="0"/>
        </c:dLbls>
        <c:smooth val="0"/>
        <c:axId val="547315064"/>
        <c:axId val="547312320"/>
      </c:lineChart>
      <c:catAx>
        <c:axId val="54731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12320"/>
        <c:crosses val="autoZero"/>
        <c:auto val="1"/>
        <c:lblAlgn val="ctr"/>
        <c:lblOffset val="100"/>
        <c:noMultiLvlLbl val="0"/>
      </c:catAx>
      <c:valAx>
        <c:axId val="547312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15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Ratios!$H$5</c:f>
              <c:strCache>
                <c:ptCount val="1"/>
                <c:pt idx="0">
                  <c:v>PM</c:v>
                </c:pt>
              </c:strCache>
            </c:strRef>
          </c:tx>
          <c:spPr>
            <a:ln w="28575" cap="rnd">
              <a:solidFill>
                <a:schemeClr val="accent1"/>
              </a:solidFill>
              <a:round/>
            </a:ln>
            <a:effectLst/>
          </c:spPr>
          <c:marker>
            <c:symbol val="none"/>
          </c:marker>
          <c:cat>
            <c:numRef>
              <c:f>Ratios!$I$4:$K$4</c:f>
              <c:numCache>
                <c:formatCode>General</c:formatCode>
                <c:ptCount val="3"/>
                <c:pt idx="0">
                  <c:v>2013</c:v>
                </c:pt>
                <c:pt idx="1">
                  <c:v>2014</c:v>
                </c:pt>
                <c:pt idx="2">
                  <c:v>2015</c:v>
                </c:pt>
              </c:numCache>
            </c:numRef>
          </c:cat>
          <c:val>
            <c:numRef>
              <c:f>Ratios!$I$5:$K$5</c:f>
              <c:numCache>
                <c:formatCode>0.00%</c:formatCode>
                <c:ptCount val="3"/>
                <c:pt idx="0">
                  <c:v>4.9357466680301325E-2</c:v>
                </c:pt>
                <c:pt idx="1">
                  <c:v>4.5544034650216565E-2</c:v>
                </c:pt>
                <c:pt idx="2">
                  <c:v>4.7036209502530062E-2</c:v>
                </c:pt>
              </c:numCache>
            </c:numRef>
          </c:val>
          <c:smooth val="0"/>
        </c:ser>
        <c:dLbls>
          <c:showLegendKey val="0"/>
          <c:showVal val="0"/>
          <c:showCatName val="0"/>
          <c:showSerName val="0"/>
          <c:showPercent val="0"/>
          <c:showBubbleSize val="0"/>
        </c:dLbls>
        <c:smooth val="0"/>
        <c:axId val="547313496"/>
        <c:axId val="547314280"/>
      </c:lineChart>
      <c:catAx>
        <c:axId val="54731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14280"/>
        <c:crosses val="autoZero"/>
        <c:auto val="1"/>
        <c:lblAlgn val="ctr"/>
        <c:lblOffset val="100"/>
        <c:noMultiLvlLbl val="0"/>
      </c:catAx>
      <c:valAx>
        <c:axId val="54731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313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Ratios!$H$7</c:f>
              <c:strCache>
                <c:ptCount val="1"/>
                <c:pt idx="0">
                  <c:v>ATO</c:v>
                </c:pt>
              </c:strCache>
            </c:strRef>
          </c:tx>
          <c:spPr>
            <a:ln w="28575" cap="rnd">
              <a:solidFill>
                <a:schemeClr val="accent1"/>
              </a:solidFill>
              <a:round/>
            </a:ln>
            <a:effectLst/>
          </c:spPr>
          <c:marker>
            <c:symbol val="none"/>
          </c:marker>
          <c:cat>
            <c:numRef>
              <c:f>Ratios!$I$6:$K$6</c:f>
              <c:numCache>
                <c:formatCode>General</c:formatCode>
                <c:ptCount val="3"/>
                <c:pt idx="0">
                  <c:v>2013</c:v>
                </c:pt>
                <c:pt idx="1">
                  <c:v>2014</c:v>
                </c:pt>
                <c:pt idx="2">
                  <c:v>2015</c:v>
                </c:pt>
              </c:numCache>
            </c:numRef>
          </c:cat>
          <c:val>
            <c:numRef>
              <c:f>Ratios!$I$7:$K$7</c:f>
              <c:numCache>
                <c:formatCode>0.000</c:formatCode>
                <c:ptCount val="3"/>
                <c:pt idx="0">
                  <c:v>7.609623241034952</c:v>
                </c:pt>
                <c:pt idx="1">
                  <c:v>6.7555555555555555</c:v>
                </c:pt>
                <c:pt idx="2">
                  <c:v>5.7607420026500096</c:v>
                </c:pt>
              </c:numCache>
            </c:numRef>
          </c:val>
          <c:smooth val="0"/>
        </c:ser>
        <c:dLbls>
          <c:showLegendKey val="0"/>
          <c:showVal val="0"/>
          <c:showCatName val="0"/>
          <c:showSerName val="0"/>
          <c:showPercent val="0"/>
          <c:showBubbleSize val="0"/>
        </c:dLbls>
        <c:smooth val="0"/>
        <c:axId val="453029704"/>
        <c:axId val="458230952"/>
      </c:lineChart>
      <c:catAx>
        <c:axId val="45302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30952"/>
        <c:crosses val="autoZero"/>
        <c:auto val="1"/>
        <c:lblAlgn val="ctr"/>
        <c:lblOffset val="100"/>
        <c:noMultiLvlLbl val="0"/>
      </c:catAx>
      <c:valAx>
        <c:axId val="45823095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029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Ratios!$H$9</c:f>
              <c:strCache>
                <c:ptCount val="1"/>
                <c:pt idx="0">
                  <c:v>NFL</c:v>
                </c:pt>
              </c:strCache>
            </c:strRef>
          </c:tx>
          <c:spPr>
            <a:ln w="28575" cap="rnd">
              <a:solidFill>
                <a:schemeClr val="accent1"/>
              </a:solidFill>
              <a:round/>
            </a:ln>
            <a:effectLst/>
          </c:spPr>
          <c:marker>
            <c:symbol val="none"/>
          </c:marker>
          <c:cat>
            <c:numRef>
              <c:f>Ratios!$I$8:$K$8</c:f>
              <c:numCache>
                <c:formatCode>General</c:formatCode>
                <c:ptCount val="3"/>
                <c:pt idx="0">
                  <c:v>2013</c:v>
                </c:pt>
                <c:pt idx="1">
                  <c:v>2014</c:v>
                </c:pt>
                <c:pt idx="2">
                  <c:v>2015</c:v>
                </c:pt>
              </c:numCache>
            </c:numRef>
          </c:cat>
          <c:val>
            <c:numRef>
              <c:f>Ratios!$I$9:$K$9</c:f>
              <c:numCache>
                <c:formatCode>0.000%</c:formatCode>
                <c:ptCount val="3"/>
                <c:pt idx="0">
                  <c:v>2.8084600525038386E-2</c:v>
                </c:pt>
                <c:pt idx="1">
                  <c:v>1.9685570487210084E-2</c:v>
                </c:pt>
                <c:pt idx="2">
                  <c:v>2.1701846965699208E-2</c:v>
                </c:pt>
              </c:numCache>
            </c:numRef>
          </c:val>
          <c:smooth val="0"/>
        </c:ser>
        <c:dLbls>
          <c:showLegendKey val="0"/>
          <c:showVal val="0"/>
          <c:showCatName val="0"/>
          <c:showSerName val="0"/>
          <c:showPercent val="0"/>
          <c:showBubbleSize val="0"/>
        </c:dLbls>
        <c:smooth val="0"/>
        <c:axId val="458228600"/>
        <c:axId val="458231736"/>
      </c:lineChart>
      <c:catAx>
        <c:axId val="45822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31736"/>
        <c:crosses val="autoZero"/>
        <c:auto val="1"/>
        <c:lblAlgn val="ctr"/>
        <c:lblOffset val="100"/>
        <c:noMultiLvlLbl val="0"/>
      </c:catAx>
      <c:valAx>
        <c:axId val="458231736"/>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2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Intangible Assets- Woolsworths Ltd.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FS!$B$27</c:f>
              <c:strCache>
                <c:ptCount val="1"/>
                <c:pt idx="0">
                  <c:v>Intangible Assets</c:v>
                </c:pt>
              </c:strCache>
            </c:strRef>
          </c:tx>
          <c:spPr>
            <a:ln w="28575" cap="rnd">
              <a:solidFill>
                <a:schemeClr val="accent1"/>
              </a:solidFill>
              <a:round/>
            </a:ln>
            <a:effectLst/>
          </c:spPr>
          <c:marker>
            <c:symbol val="none"/>
          </c:marker>
          <c:cat>
            <c:numRef>
              <c:f>FS!$C$4:$F$4</c:f>
              <c:numCache>
                <c:formatCode>General</c:formatCode>
                <c:ptCount val="4"/>
                <c:pt idx="0">
                  <c:v>2012</c:v>
                </c:pt>
                <c:pt idx="1">
                  <c:v>2013</c:v>
                </c:pt>
                <c:pt idx="2">
                  <c:v>2014</c:v>
                </c:pt>
                <c:pt idx="3">
                  <c:v>2015</c:v>
                </c:pt>
              </c:numCache>
            </c:numRef>
          </c:cat>
          <c:val>
            <c:numRef>
              <c:f>FS!$C$27:$F$27</c:f>
              <c:numCache>
                <c:formatCode>#,##0</c:formatCode>
                <c:ptCount val="4"/>
                <c:pt idx="0">
                  <c:v>3222</c:v>
                </c:pt>
                <c:pt idx="1">
                  <c:v>3401</c:v>
                </c:pt>
                <c:pt idx="2" formatCode="0">
                  <c:v>3882</c:v>
                </c:pt>
                <c:pt idx="3">
                  <c:v>3826</c:v>
                </c:pt>
              </c:numCache>
            </c:numRef>
          </c:val>
          <c:smooth val="0"/>
        </c:ser>
        <c:dLbls>
          <c:showLegendKey val="0"/>
          <c:showVal val="0"/>
          <c:showCatName val="0"/>
          <c:showSerName val="0"/>
          <c:showPercent val="0"/>
          <c:showBubbleSize val="0"/>
        </c:dLbls>
        <c:smooth val="0"/>
        <c:axId val="458228992"/>
        <c:axId val="458229384"/>
      </c:lineChart>
      <c:catAx>
        <c:axId val="4582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29384"/>
        <c:crosses val="autoZero"/>
        <c:auto val="1"/>
        <c:lblAlgn val="ctr"/>
        <c:lblOffset val="100"/>
        <c:noMultiLvlLbl val="0"/>
      </c:catAx>
      <c:valAx>
        <c:axId val="458229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2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And07</b:Tag>
    <b:SourceType>Book</b:SourceType>
    <b:Guid>{DE364D58-46F4-4ED5-A726-F0EA7EA3F34E}</b:Guid>
    <b:Author>
      <b:Author>
        <b:NameList>
          <b:Person>
            <b:Last>Andrew</b:Last>
            <b:First>Joseph</b:First>
          </b:Person>
        </b:NameList>
      </b:Author>
    </b:Author>
    <b:Title>Financial Management; Principles and Practice</b:Title>
    <b:Year>2009</b:Year>
    <b:City>USA</b:City>
    <b:Publisher>Freeload Press</b:Publisher>
    <b:RefOrder>1</b:RefOrder>
  </b:Source>
  <b:Source>
    <b:Tag>Arn13</b:Tag>
    <b:SourceType>Book</b:SourceType>
    <b:Guid>{47DE1CF9-5583-4787-9994-FC07AE19D0B0}</b:Guid>
    <b:Author>
      <b:Author>
        <b:NameList>
          <b:Person>
            <b:Last>Arnold</b:Last>
            <b:First>G.</b:First>
          </b:Person>
        </b:NameList>
      </b:Author>
    </b:Author>
    <b:Title>Essentials of Corporate Financial Management</b:Title>
    <b:Year>2013</b:Year>
    <b:Publisher>Pearson</b:Publisher>
    <b:Edition>2nd</b:Edition>
    <b:RefOrder>2</b:RefOrder>
  </b:Source>
  <b:Source>
    <b:Tag>Bri10</b:Tag>
    <b:SourceType>Book</b:SourceType>
    <b:Guid>{C0622342-7EE0-4CFA-9221-D11016F4D19D}</b:Guid>
    <b:Author>
      <b:Author>
        <b:NameList>
          <b:Person>
            <b:Last>Brigham</b:Last>
            <b:First>Eugene</b:First>
            <b:Middle>F.</b:Middle>
          </b:Person>
          <b:Person>
            <b:Last>Ehhardt</b:Last>
            <b:First>Michael</b:First>
            <b:Middle>C.</b:Middle>
          </b:Person>
        </b:NameList>
      </b:Author>
    </b:Author>
    <b:Title>Financial Management Theory and Practice</b:Title>
    <b:Year>2010</b:Year>
    <b:City>NY</b:City>
    <b:Publisher>Cengage Learning</b:Publisher>
    <b:RefOrder>3</b:RefOrder>
  </b:Source>
  <b:Source>
    <b:Tag>Hol09</b:Tag>
    <b:SourceType>JournalArticle</b:SourceType>
    <b:Guid>{CE85EFA6-34FD-4CAD-8B20-3DB173F02D41}</b:Guid>
    <b:Title>Capital Budgeting and Political Risk: Empirical Evidence</b:Title>
    <b:JournalName>Journal of International Financial Management &amp; Accounting</b:JournalName>
    <b:Year>2009</b:Year>
    <b:Pages>105-134</b:Pages>
    <b:Volume>20</b:Volume>
    <b:Issue>2</b:Issue>
    <b:Author>
      <b:Author>
        <b:NameList>
          <b:Person>
            <b:Last>Holmen</b:Last>
            <b:First>Martin</b:First>
          </b:Person>
          <b:Person>
            <b:Last>Pramborg</b:Last>
            <b:First>Bengt</b:First>
          </b:Person>
        </b:NameList>
      </b:Author>
    </b:Author>
    <b:RefOrder>4</b:RefOrder>
  </b:Source>
  <b:Source>
    <b:Tag>Atr12</b:Tag>
    <b:SourceType>Book</b:SourceType>
    <b:Guid>{5D1CB388-C094-433F-8929-FFE8989C9927}</b:Guid>
    <b:Author>
      <b:Author>
        <b:NameList>
          <b:Person>
            <b:Last>P</b:Last>
            <b:First>Atrill</b:First>
          </b:Person>
        </b:NameList>
      </b:Author>
    </b:Author>
    <b:Title>Financial Management for Decision Makers</b:Title>
    <b:Year>2012</b:Year>
    <b:Publisher>Ft Prentice Hall</b:Publisher>
    <b:Edition>6th</b:Edition>
    <b:RefOrder>5</b:RefOrder>
  </b:Source>
  <b:Source>
    <b:Tag>Pet13</b:Tag>
    <b:SourceType>Book</b:SourceType>
    <b:Guid>{C5C47ED1-F08C-42BF-B116-C4AED96B600E}</b:Guid>
    <b:Title>Financial Management: Principles and Applications</b:Title>
    <b:Year>2013</b:Year>
    <b:City>UK</b:City>
    <b:Publisher>Pearson education</b:Publisher>
    <b:Edition>6th</b:Edition>
    <b:Author>
      <b:Author>
        <b:NameList>
          <b:Person>
            <b:Last>Petty</b:Last>
            <b:First>William</b:First>
          </b:Person>
          <b:Person>
            <b:Last>Keown</b:Last>
            <b:First>Arthur</b:First>
          </b:Person>
          <b:Person>
            <b:Last>Scott</b:Last>
            <b:First>David</b:First>
          </b:Person>
          <b:Person>
            <b:Last>Martin</b:Last>
            <b:First>John</b:First>
          </b:Person>
        </b:NameList>
      </b:Author>
    </b:Author>
    <b:RefOrder>6</b:RefOrder>
  </b:Source>
</b:Sources>
</file>

<file path=customXml/itemProps1.xml><?xml version="1.0" encoding="utf-8"?>
<ds:datastoreItem xmlns:ds="http://schemas.openxmlformats.org/officeDocument/2006/customXml" ds:itemID="{26F2E4BE-14E9-46F1-99A2-1DFB5C2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Accounting Sample 1</vt:lpstr>
    </vt:vector>
  </TitlesOfParts>
  <Company>opers</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Sample 1</dc:title>
  <dc:creator>TV</dc:creator>
  <cp:lastModifiedBy>TV</cp:lastModifiedBy>
  <cp:revision>2</cp:revision>
  <cp:lastPrinted>2016-01-08T18:08:00Z</cp:lastPrinted>
  <dcterms:created xsi:type="dcterms:W3CDTF">2016-10-06T12:05:00Z</dcterms:created>
  <dcterms:modified xsi:type="dcterms:W3CDTF">2016-10-06T12:05:00Z</dcterms:modified>
</cp:coreProperties>
</file>